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7A8F7B0">
      <w:pPr>
        <w:spacing w:line="240" w:lineRule="auto"/>
        <w:rPr>
          <w:rFonts w:hint="default" w:ascii="Times New Roman" w:hAnsi="Times New Roman" w:cs="Times New Roman"/>
          <w:color w:val="auto"/>
          <w:szCs w:val="24"/>
        </w:rPr>
      </w:pPr>
    </w:p>
    <w:p w14:paraId="1832E738">
      <w:pPr>
        <w:tabs>
          <w:tab w:val="left" w:pos="851"/>
          <w:tab w:val="left" w:pos="1620"/>
          <w:tab w:val="left" w:pos="1800"/>
        </w:tabs>
        <w:spacing w:line="240" w:lineRule="auto"/>
        <w:rPr>
          <w:rFonts w:hint="default" w:ascii="Times New Roman" w:hAnsi="Times New Roman" w:eastAsia="黑体" w:cs="Times New Roman"/>
          <w:b/>
          <w:color w:val="auto"/>
          <w:sz w:val="44"/>
          <w:szCs w:val="44"/>
        </w:rPr>
      </w:pPr>
      <w:r>
        <w:rPr>
          <w:rFonts w:hint="default" w:ascii="Times New Roman" w:hAnsi="Times New Roman" w:eastAsia="黑体" w:cs="Times New Roman"/>
          <w:b/>
          <w:color w:val="auto"/>
          <w:sz w:val="44"/>
          <w:szCs w:val="44"/>
        </w:rPr>
        <w:t xml:space="preserve">                                                </w:t>
      </w:r>
      <w:r>
        <w:rPr>
          <w:rFonts w:hint="default" w:ascii="Times New Roman" w:hAnsi="Times New Roman" w:eastAsia="黑体" w:cs="Times New Roman"/>
          <w:b/>
          <w:color w:val="auto"/>
          <w:sz w:val="44"/>
          <w:szCs w:val="44"/>
        </w:rPr>
        <w:drawing>
          <wp:inline distT="0" distB="0" distL="114300" distR="114300">
            <wp:extent cx="1562100" cy="609600"/>
            <wp:effectExtent l="0" t="0" r="7620" b="0"/>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9"/>
                    <a:srcRect l="53677" t="2350" r="15076" b="88907"/>
                    <a:stretch>
                      <a:fillRect/>
                    </a:stretch>
                  </pic:blipFill>
                  <pic:spPr>
                    <a:xfrm>
                      <a:off x="0" y="0"/>
                      <a:ext cx="1562100" cy="609600"/>
                    </a:xfrm>
                    <a:prstGeom prst="rect">
                      <a:avLst/>
                    </a:prstGeom>
                    <a:noFill/>
                    <a:ln>
                      <a:noFill/>
                    </a:ln>
                  </pic:spPr>
                </pic:pic>
              </a:graphicData>
            </a:graphic>
          </wp:inline>
        </w:drawing>
      </w:r>
    </w:p>
    <w:p w14:paraId="73DCFF5F">
      <w:pPr>
        <w:tabs>
          <w:tab w:val="left" w:pos="851"/>
          <w:tab w:val="left" w:pos="1620"/>
          <w:tab w:val="left" w:pos="1800"/>
        </w:tabs>
        <w:spacing w:line="240" w:lineRule="auto"/>
        <w:jc w:val="center"/>
        <w:rPr>
          <w:rFonts w:hint="default" w:ascii="Times New Roman" w:hAnsi="Times New Roman" w:eastAsia="方正小标宋简体" w:cs="Times New Roman"/>
          <w:bCs/>
          <w:color w:val="auto"/>
          <w:spacing w:val="24"/>
          <w:sz w:val="52"/>
          <w:szCs w:val="52"/>
        </w:rPr>
      </w:pPr>
      <w:r>
        <w:rPr>
          <w:rFonts w:hint="default" w:ascii="Times New Roman" w:hAnsi="Times New Roman" w:eastAsia="方正小标宋简体" w:cs="Times New Roman"/>
          <w:bCs/>
          <w:color w:val="auto"/>
          <w:spacing w:val="24"/>
          <w:sz w:val="52"/>
          <w:szCs w:val="52"/>
        </w:rPr>
        <w:t>中华人民共和国国家计量技术规范</w:t>
      </w:r>
    </w:p>
    <w:p w14:paraId="003DC9EA">
      <w:pPr>
        <w:adjustRightInd w:val="0"/>
        <w:snapToGrid w:val="0"/>
        <w:spacing w:before="156" w:beforeLines="50" w:line="240" w:lineRule="auto"/>
        <w:jc w:val="center"/>
        <w:rPr>
          <w:rFonts w:hint="default" w:ascii="Times New Roman" w:hAnsi="Times New Roman" w:eastAsia="黑体" w:cs="Times New Roman"/>
          <w:b/>
          <w:bCs/>
          <w:color w:val="auto"/>
          <w:sz w:val="28"/>
          <w:szCs w:val="28"/>
        </w:rPr>
      </w:pPr>
      <w:r>
        <w:rPr>
          <w:rFonts w:hint="default" w:ascii="Times New Roman" w:hAnsi="Times New Roman" w:eastAsia="黑体" w:cs="Times New Roman"/>
          <w:color w:val="auto"/>
          <w:sz w:val="44"/>
          <w:szCs w:val="44"/>
        </w:rPr>
        <w:t xml:space="preserve">             </w:t>
      </w:r>
      <w:r>
        <w:rPr>
          <w:rFonts w:hint="default" w:ascii="Times New Roman" w:hAnsi="Times New Roman" w:eastAsia="黑体" w:cs="Times New Roman"/>
          <w:color w:val="auto"/>
          <w:sz w:val="44"/>
          <w:szCs w:val="44"/>
          <w:lang w:val="en-US" w:eastAsia="zh-CN"/>
        </w:rPr>
        <w:t xml:space="preserve">     </w:t>
      </w:r>
      <w:r>
        <w:rPr>
          <w:rFonts w:hint="default" w:ascii="Times New Roman" w:hAnsi="Times New Roman" w:eastAsia="黑体" w:cs="Times New Roman"/>
          <w:color w:val="auto"/>
          <w:sz w:val="44"/>
          <w:szCs w:val="44"/>
        </w:rPr>
        <w:t xml:space="preserve">   </w:t>
      </w:r>
      <w:r>
        <w:rPr>
          <w:rFonts w:hint="default" w:ascii="Times New Roman" w:hAnsi="Times New Roman" w:eastAsia="黑体" w:cs="Times New Roman"/>
          <w:color w:val="auto"/>
          <w:sz w:val="44"/>
          <w:szCs w:val="44"/>
          <w:lang w:val="en-US" w:eastAsia="zh-CN"/>
        </w:rPr>
        <w:t xml:space="preserve">  </w:t>
      </w:r>
      <w:r>
        <w:rPr>
          <w:rFonts w:hint="default" w:ascii="Times New Roman" w:hAnsi="Times New Roman" w:eastAsia="黑体" w:cs="Times New Roman"/>
          <w:color w:val="auto"/>
          <w:sz w:val="44"/>
          <w:szCs w:val="44"/>
        </w:rPr>
        <w:t xml:space="preserve">     </w:t>
      </w:r>
      <w:r>
        <w:rPr>
          <w:rFonts w:hint="default" w:ascii="Times New Roman" w:hAnsi="Times New Roman" w:eastAsia="黑体" w:cs="Times New Roman"/>
          <w:b/>
          <w:bCs/>
          <w:color w:val="auto"/>
          <w:sz w:val="28"/>
          <w:szCs w:val="28"/>
        </w:rPr>
        <w:t>JJF ××××</w:t>
      </w:r>
      <w:r>
        <w:rPr>
          <w:rFonts w:hint="default" w:ascii="Times New Roman" w:hAnsi="Times New Roman" w:eastAsia="黑体" w:cs="Times New Roman"/>
          <w:b/>
          <w:bCs/>
          <w:color w:val="auto"/>
          <w:sz w:val="28"/>
          <w:szCs w:val="28"/>
          <w:lang w:eastAsia="zh-CN"/>
        </w:rPr>
        <w:t>—</w:t>
      </w:r>
      <w:r>
        <w:rPr>
          <w:rFonts w:hint="default" w:ascii="Times New Roman" w:hAnsi="Times New Roman" w:eastAsia="黑体" w:cs="Times New Roman"/>
          <w:b/>
          <w:bCs/>
          <w:color w:val="auto"/>
          <w:sz w:val="28"/>
          <w:szCs w:val="28"/>
        </w:rPr>
        <w:t>××××</w:t>
      </w:r>
    </w:p>
    <w:p w14:paraId="5D77C6C9">
      <w:pPr>
        <w:tabs>
          <w:tab w:val="left" w:pos="1620"/>
          <w:tab w:val="left" w:pos="1800"/>
        </w:tabs>
        <w:spacing w:line="240" w:lineRule="auto"/>
        <w:rPr>
          <w:rFonts w:hint="default" w:ascii="Times New Roman" w:hAnsi="Times New Roman" w:cs="Times New Roman"/>
          <w:color w:val="auto"/>
          <w:sz w:val="28"/>
        </w:rPr>
      </w:pPr>
      <w:r>
        <w:rPr>
          <w:rFonts w:hint="default" w:ascii="Times New Roman" w:hAnsi="Times New Roman" w:cs="Times New Roman"/>
          <w:color w:val="auto"/>
        </w:rPr>
        <mc:AlternateContent>
          <mc:Choice Requires="wps">
            <w:drawing>
              <wp:anchor distT="0" distB="0" distL="114300" distR="114300" simplePos="0" relativeHeight="251659264" behindDoc="0" locked="0" layoutInCell="1" allowOverlap="1">
                <wp:simplePos x="0" y="0"/>
                <wp:positionH relativeFrom="column">
                  <wp:posOffset>9525</wp:posOffset>
                </wp:positionH>
                <wp:positionV relativeFrom="paragraph">
                  <wp:posOffset>266700</wp:posOffset>
                </wp:positionV>
                <wp:extent cx="5481955" cy="1270"/>
                <wp:effectExtent l="0" t="0" r="0" b="0"/>
                <wp:wrapNone/>
                <wp:docPr id="1" name="Line 32"/>
                <wp:cNvGraphicFramePr/>
                <a:graphic xmlns:a="http://schemas.openxmlformats.org/drawingml/2006/main">
                  <a:graphicData uri="http://schemas.microsoft.com/office/word/2010/wordprocessingShape">
                    <wps:wsp>
                      <wps:cNvCnPr/>
                      <wps:spPr>
                        <a:xfrm flipV="1">
                          <a:off x="0" y="0"/>
                          <a:ext cx="5481955" cy="1270"/>
                        </a:xfrm>
                        <a:prstGeom prst="line">
                          <a:avLst/>
                        </a:prstGeom>
                        <a:ln w="9525" cap="flat" cmpd="sng">
                          <a:solidFill>
                            <a:srgbClr val="000000"/>
                          </a:solidFill>
                          <a:prstDash val="solid"/>
                          <a:headEnd type="none" w="med" len="med"/>
                          <a:tailEnd type="none" w="med" len="med"/>
                        </a:ln>
                      </wps:spPr>
                      <wps:bodyPr/>
                    </wps:wsp>
                  </a:graphicData>
                </a:graphic>
              </wp:anchor>
            </w:drawing>
          </mc:Choice>
          <mc:Fallback>
            <w:pict>
              <v:line id="Line 32" o:spid="_x0000_s1026" o:spt="20" style="position:absolute;left:0pt;flip:y;margin-left:0.75pt;margin-top:21pt;height:0.1pt;width:431.65pt;z-index:251659264;mso-width-relative:page;mso-height-relative:page;" filled="f" stroked="t" coordsize="21600,21600" o:gfxdata="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AxuWmt1AAAAAcBAAAPAAAAAAAA&#10;AAEAIAAAACIAAABkcnMvZG93bnJldi54bWxQSwECFAAUAAAACACHTuJAFOrl+d0BAADbAwAADgAA&#10;AAAAAAABACAAAAAjAQAAZHJzL2Uyb0RvYy54bWxQSwUGAAAAAAYABgBZAQAAcgUAAAAA&#10;">
                <v:fill on="f" focussize="0,0"/>
                <v:stroke color="#000000" joinstyle="round"/>
                <v:imagedata o:title=""/>
                <o:lock v:ext="edit" aspectratio="f"/>
              </v:line>
            </w:pict>
          </mc:Fallback>
        </mc:AlternateContent>
      </w:r>
    </w:p>
    <w:p w14:paraId="5711F060">
      <w:pPr>
        <w:tabs>
          <w:tab w:val="left" w:pos="1620"/>
          <w:tab w:val="left" w:pos="1800"/>
        </w:tabs>
        <w:spacing w:line="240" w:lineRule="auto"/>
        <w:rPr>
          <w:rFonts w:hint="default" w:ascii="Times New Roman" w:hAnsi="Times New Roman" w:cs="Times New Roman"/>
          <w:color w:val="auto"/>
          <w:sz w:val="28"/>
        </w:rPr>
      </w:pPr>
    </w:p>
    <w:p w14:paraId="663F758E">
      <w:pPr>
        <w:tabs>
          <w:tab w:val="left" w:pos="1620"/>
          <w:tab w:val="left" w:pos="1800"/>
        </w:tabs>
        <w:spacing w:line="240" w:lineRule="auto"/>
        <w:rPr>
          <w:rFonts w:hint="default" w:ascii="Times New Roman" w:hAnsi="Times New Roman" w:cs="Times New Roman"/>
          <w:color w:val="auto"/>
          <w:sz w:val="28"/>
        </w:rPr>
      </w:pPr>
    </w:p>
    <w:p w14:paraId="4DE445EE">
      <w:pPr>
        <w:tabs>
          <w:tab w:val="left" w:pos="851"/>
          <w:tab w:val="left" w:pos="1620"/>
          <w:tab w:val="left" w:pos="1800"/>
        </w:tabs>
        <w:adjustRightInd w:val="0"/>
        <w:snapToGrid w:val="0"/>
        <w:spacing w:line="240" w:lineRule="auto"/>
        <w:jc w:val="center"/>
        <w:rPr>
          <w:rFonts w:hint="default" w:ascii="Times New Roman" w:hAnsi="Times New Roman" w:eastAsia="黑体" w:cs="Times New Roman"/>
          <w:color w:val="auto"/>
          <w:sz w:val="52"/>
          <w:szCs w:val="52"/>
        </w:rPr>
      </w:pPr>
      <w:bookmarkStart w:id="0" w:name="_Hlk139286149"/>
      <w:r>
        <w:rPr>
          <w:rFonts w:hint="default" w:ascii="Times New Roman" w:hAnsi="Times New Roman" w:eastAsia="黑体" w:cs="Times New Roman"/>
          <w:color w:val="auto"/>
          <w:sz w:val="52"/>
          <w:szCs w:val="52"/>
        </w:rPr>
        <w:t>装配式建筑物化阶段</w:t>
      </w:r>
    </w:p>
    <w:p w14:paraId="74E1D2A7">
      <w:pPr>
        <w:tabs>
          <w:tab w:val="left" w:pos="851"/>
          <w:tab w:val="left" w:pos="1620"/>
          <w:tab w:val="left" w:pos="1800"/>
        </w:tabs>
        <w:adjustRightInd w:val="0"/>
        <w:snapToGrid w:val="0"/>
        <w:spacing w:line="240" w:lineRule="auto"/>
        <w:jc w:val="center"/>
        <w:rPr>
          <w:rFonts w:hint="default" w:ascii="Times New Roman" w:hAnsi="Times New Roman" w:eastAsia="黑体" w:cs="Times New Roman"/>
          <w:color w:val="auto"/>
          <w:sz w:val="52"/>
          <w:szCs w:val="52"/>
        </w:rPr>
      </w:pPr>
      <w:r>
        <w:rPr>
          <w:rFonts w:hint="default" w:ascii="Times New Roman" w:hAnsi="Times New Roman" w:eastAsia="黑体" w:cs="Times New Roman"/>
          <w:color w:val="auto"/>
          <w:sz w:val="52"/>
          <w:szCs w:val="52"/>
        </w:rPr>
        <w:t>碳排放技术要求</w:t>
      </w:r>
    </w:p>
    <w:bookmarkEnd w:id="0"/>
    <w:p w14:paraId="165B4B1B">
      <w:pPr>
        <w:autoSpaceDE w:val="0"/>
        <w:autoSpaceDN w:val="0"/>
        <w:adjustRightInd w:val="0"/>
        <w:snapToGrid w:val="0"/>
        <w:spacing w:before="312" w:beforeLines="100" w:line="240" w:lineRule="auto"/>
        <w:jc w:val="center"/>
        <w:rPr>
          <w:rFonts w:hint="default" w:ascii="Times New Roman" w:hAnsi="Times New Roman" w:eastAsia="黑体" w:cs="Times New Roman"/>
          <w:b/>
          <w:color w:val="auto"/>
          <w:sz w:val="28"/>
          <w:szCs w:val="28"/>
        </w:rPr>
      </w:pPr>
      <w:bookmarkStart w:id="1" w:name="_Hlk139286278"/>
      <w:r>
        <w:rPr>
          <w:rFonts w:hint="default" w:ascii="Times New Roman" w:hAnsi="Times New Roman" w:eastAsia="黑体" w:cs="Times New Roman"/>
          <w:b/>
          <w:color w:val="auto"/>
          <w:sz w:val="28"/>
          <w:szCs w:val="28"/>
        </w:rPr>
        <w:t xml:space="preserve">Technical Requirement for Carbon Emission in </w:t>
      </w:r>
    </w:p>
    <w:p w14:paraId="475CF6CB">
      <w:pPr>
        <w:autoSpaceDE w:val="0"/>
        <w:autoSpaceDN w:val="0"/>
        <w:adjustRightInd w:val="0"/>
        <w:snapToGrid w:val="0"/>
        <w:spacing w:line="240" w:lineRule="auto"/>
        <w:jc w:val="center"/>
        <w:rPr>
          <w:rFonts w:hint="default" w:ascii="Times New Roman" w:hAnsi="Times New Roman" w:eastAsia="黑体" w:cs="Times New Roman"/>
          <w:b/>
          <w:color w:val="auto"/>
          <w:sz w:val="28"/>
          <w:szCs w:val="28"/>
        </w:rPr>
      </w:pPr>
      <w:r>
        <w:rPr>
          <w:rFonts w:hint="default" w:ascii="Times New Roman" w:hAnsi="Times New Roman" w:eastAsia="黑体" w:cs="Times New Roman"/>
          <w:b/>
          <w:color w:val="auto"/>
          <w:sz w:val="28"/>
          <w:szCs w:val="28"/>
        </w:rPr>
        <w:t>Prefabricated Building Materialization Stage</w:t>
      </w:r>
    </w:p>
    <w:bookmarkEnd w:id="1"/>
    <w:p w14:paraId="5474951F">
      <w:pPr>
        <w:pStyle w:val="45"/>
        <w:spacing w:line="360" w:lineRule="auto"/>
        <w:jc w:val="center"/>
        <w:rPr>
          <w:rFonts w:hint="default" w:ascii="Times New Roman" w:hAnsi="Times New Roman" w:cs="Times New Roman"/>
          <w:b/>
          <w:bCs/>
          <w:color w:val="auto"/>
          <w:sz w:val="36"/>
          <w:szCs w:val="28"/>
        </w:rPr>
      </w:pPr>
      <w:r>
        <w:rPr>
          <w:rFonts w:hint="default" w:ascii="Times New Roman" w:hAnsi="Times New Roman" w:cs="Times New Roman"/>
          <w:b/>
          <w:bCs/>
          <w:color w:val="auto"/>
          <w:sz w:val="36"/>
          <w:szCs w:val="28"/>
        </w:rPr>
        <w:t>（</w:t>
      </w:r>
      <w:r>
        <w:rPr>
          <w:rFonts w:hint="default" w:ascii="Times New Roman" w:hAnsi="Times New Roman" w:cs="Times New Roman"/>
          <w:b/>
          <w:bCs/>
          <w:color w:val="auto"/>
          <w:sz w:val="36"/>
          <w:szCs w:val="28"/>
          <w:lang w:val="en-US" w:eastAsia="zh-CN"/>
        </w:rPr>
        <w:t>征求意见</w:t>
      </w:r>
      <w:r>
        <w:rPr>
          <w:rFonts w:hint="default" w:ascii="Times New Roman" w:hAnsi="Times New Roman" w:cs="Times New Roman"/>
          <w:b/>
          <w:bCs/>
          <w:color w:val="auto"/>
          <w:sz w:val="36"/>
          <w:szCs w:val="28"/>
        </w:rPr>
        <w:t>稿）</w:t>
      </w:r>
    </w:p>
    <w:p w14:paraId="1789BC20">
      <w:pPr>
        <w:pStyle w:val="45"/>
        <w:rPr>
          <w:rFonts w:hint="default" w:ascii="Times New Roman" w:hAnsi="Times New Roman" w:cs="Times New Roman"/>
          <w:color w:val="auto"/>
        </w:rPr>
      </w:pPr>
    </w:p>
    <w:p w14:paraId="1A02E6C0">
      <w:pPr>
        <w:pStyle w:val="45"/>
        <w:rPr>
          <w:rFonts w:hint="default" w:ascii="Times New Roman" w:hAnsi="Times New Roman" w:cs="Times New Roman"/>
          <w:color w:val="auto"/>
        </w:rPr>
      </w:pPr>
    </w:p>
    <w:p w14:paraId="7C5B2664">
      <w:pPr>
        <w:pStyle w:val="45"/>
        <w:rPr>
          <w:rFonts w:hint="default" w:ascii="Times New Roman" w:hAnsi="Times New Roman" w:cs="Times New Roman"/>
          <w:color w:val="auto"/>
        </w:rPr>
      </w:pPr>
    </w:p>
    <w:p w14:paraId="4FDCD7F1">
      <w:pPr>
        <w:pStyle w:val="45"/>
        <w:rPr>
          <w:rFonts w:hint="default" w:ascii="Times New Roman" w:hAnsi="Times New Roman" w:cs="Times New Roman"/>
          <w:color w:val="auto"/>
        </w:rPr>
      </w:pPr>
    </w:p>
    <w:p w14:paraId="66551E14">
      <w:pPr>
        <w:pStyle w:val="45"/>
        <w:rPr>
          <w:rFonts w:hint="default" w:ascii="Times New Roman" w:hAnsi="Times New Roman" w:cs="Times New Roman"/>
          <w:color w:val="auto"/>
        </w:rPr>
      </w:pPr>
    </w:p>
    <w:p w14:paraId="6A6FC3D3">
      <w:pPr>
        <w:pStyle w:val="45"/>
        <w:rPr>
          <w:rFonts w:hint="default" w:ascii="Times New Roman" w:hAnsi="Times New Roman" w:cs="Times New Roman"/>
          <w:color w:val="auto"/>
        </w:rPr>
      </w:pPr>
    </w:p>
    <w:p w14:paraId="5CB85855">
      <w:pPr>
        <w:pStyle w:val="45"/>
        <w:rPr>
          <w:rFonts w:hint="default" w:ascii="Times New Roman" w:hAnsi="Times New Roman" w:cs="Times New Roman"/>
          <w:color w:val="auto"/>
        </w:rPr>
      </w:pPr>
    </w:p>
    <w:p w14:paraId="27219730">
      <w:pPr>
        <w:spacing w:line="240" w:lineRule="auto"/>
        <w:jc w:val="center"/>
        <w:rPr>
          <w:rFonts w:hint="default" w:ascii="Times New Roman" w:hAnsi="Times New Roman" w:eastAsia="黑体" w:cs="Times New Roman"/>
          <w:bCs/>
          <w:color w:val="auto"/>
          <w:spacing w:val="20"/>
          <w:sz w:val="28"/>
          <w:u w:val="single"/>
        </w:rPr>
      </w:pPr>
      <w:r>
        <w:rPr>
          <w:rFonts w:hint="default" w:ascii="Times New Roman" w:hAnsi="Times New Roman" w:eastAsia="黑体" w:cs="Times New Roman"/>
          <w:bCs/>
          <w:color w:val="auto"/>
          <w:spacing w:val="20"/>
          <w:sz w:val="28"/>
          <w:u w:val="single"/>
        </w:rPr>
        <w:t>××××-××-××发布          ××××-××-××实施</w:t>
      </w:r>
    </w:p>
    <w:p w14:paraId="4EB1CBE7">
      <w:pPr>
        <w:spacing w:line="240" w:lineRule="auto"/>
        <w:jc w:val="center"/>
        <w:rPr>
          <w:rFonts w:hint="default" w:ascii="Times New Roman" w:hAnsi="Times New Roman" w:eastAsia="黑体" w:cs="Times New Roman"/>
          <w:color w:val="auto"/>
          <w:sz w:val="28"/>
        </w:rPr>
      </w:pPr>
      <w:r>
        <w:rPr>
          <w:rFonts w:hint="default" w:ascii="Times New Roman" w:hAnsi="Times New Roman" w:eastAsia="方正小标宋简体" w:cs="Times New Roman"/>
          <w:bCs/>
          <w:color w:val="auto"/>
          <w:spacing w:val="70"/>
          <w:sz w:val="44"/>
        </w:rPr>
        <w:t>国家市场监督管理总局</w:t>
      </w:r>
      <w:r>
        <w:rPr>
          <w:rFonts w:hint="default" w:ascii="Times New Roman" w:hAnsi="Times New Roman" w:cs="Times New Roman"/>
          <w:color w:val="auto"/>
          <w:sz w:val="44"/>
        </w:rPr>
        <w:t xml:space="preserve"> </w:t>
      </w:r>
      <w:r>
        <w:rPr>
          <w:rFonts w:hint="default" w:ascii="Times New Roman" w:hAnsi="Times New Roman" w:eastAsia="黑体" w:cs="Times New Roman"/>
          <w:color w:val="auto"/>
          <w:sz w:val="28"/>
        </w:rPr>
        <w:t>发 布</w:t>
      </w:r>
    </w:p>
    <w:p w14:paraId="15E830FE">
      <w:pPr>
        <w:tabs>
          <w:tab w:val="left" w:pos="851"/>
          <w:tab w:val="left" w:pos="1620"/>
          <w:tab w:val="left" w:pos="1800"/>
        </w:tabs>
        <w:ind w:firstLine="883"/>
        <w:jc w:val="left"/>
        <w:rPr>
          <w:rFonts w:hint="default" w:ascii="Times New Roman" w:hAnsi="Times New Roman" w:eastAsia="黑体" w:cs="Times New Roman"/>
          <w:b/>
          <w:color w:val="auto"/>
          <w:sz w:val="44"/>
          <w:szCs w:val="44"/>
        </w:rPr>
      </w:pPr>
    </w:p>
    <w:p w14:paraId="0D72773A">
      <w:pPr>
        <w:tabs>
          <w:tab w:val="left" w:pos="851"/>
          <w:tab w:val="left" w:pos="1620"/>
          <w:tab w:val="left" w:pos="1800"/>
        </w:tabs>
        <w:spacing w:line="240" w:lineRule="auto"/>
        <w:jc w:val="left"/>
        <w:rPr>
          <w:rFonts w:hint="default" w:ascii="Times New Roman" w:hAnsi="Times New Roman" w:eastAsia="黑体" w:cs="Times New Roman"/>
          <w:bCs/>
          <w:color w:val="auto"/>
          <w:sz w:val="44"/>
          <w:szCs w:val="44"/>
        </w:rPr>
      </w:pPr>
      <w:r>
        <w:rPr>
          <w:rFonts w:hint="default" w:ascii="Times New Roman" w:hAnsi="Times New Roman" w:cs="Times New Roman"/>
          <w:bCs/>
          <w:color w:val="auto"/>
        </w:rPr>
        <mc:AlternateContent>
          <mc:Choice Requires="wps">
            <w:drawing>
              <wp:anchor distT="0" distB="0" distL="114300" distR="114300" simplePos="0" relativeHeight="251660288" behindDoc="0" locked="0" layoutInCell="1" allowOverlap="1">
                <wp:simplePos x="0" y="0"/>
                <wp:positionH relativeFrom="column">
                  <wp:posOffset>3371215</wp:posOffset>
                </wp:positionH>
                <wp:positionV relativeFrom="paragraph">
                  <wp:posOffset>245110</wp:posOffset>
                </wp:positionV>
                <wp:extent cx="2065655" cy="791845"/>
                <wp:effectExtent l="0" t="0" r="0" b="0"/>
                <wp:wrapNone/>
                <wp:docPr id="2" name="Rectangle 5"/>
                <wp:cNvGraphicFramePr/>
                <a:graphic xmlns:a="http://schemas.openxmlformats.org/drawingml/2006/main">
                  <a:graphicData uri="http://schemas.microsoft.com/office/word/2010/wordprocessingShape">
                    <wps:wsp>
                      <wps:cNvSpPr/>
                      <wps:spPr>
                        <a:xfrm>
                          <a:off x="0" y="0"/>
                          <a:ext cx="2065655" cy="791845"/>
                        </a:xfrm>
                        <a:prstGeom prst="rect">
                          <a:avLst/>
                        </a:prstGeom>
                        <a:noFill/>
                        <a:ln w="25400" cap="rnd" cmpd="sng">
                          <a:solidFill>
                            <a:srgbClr val="000000"/>
                          </a:solidFill>
                          <a:prstDash val="sysDot"/>
                          <a:miter/>
                          <a:headEnd type="none" w="med" len="med"/>
                          <a:tailEnd type="none" w="med" len="med"/>
                        </a:ln>
                        <a:effectLst/>
                      </wps:spPr>
                      <wps:bodyPr upright="1"/>
                    </wps:wsp>
                  </a:graphicData>
                </a:graphic>
              </wp:anchor>
            </w:drawing>
          </mc:Choice>
          <mc:Fallback>
            <w:pict>
              <v:rect id="Rectangle 5" o:spid="_x0000_s1026" o:spt="1" style="position:absolute;left:0pt;margin-left:265.45pt;margin-top:19.3pt;height:62.35pt;width:162.65pt;z-index:251660288;mso-width-relative:page;mso-height-relative:page;" filled="f" stroked="t" coordsize="21600,21600" o:gfxdata="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AFbIgf2QAAAAoBAAAPAAAAAAAAAAEAIAAAACIAAABkcnMvZG93bnJldi54bWxQSwEC&#10;FAAUAAAACACHTuJAQPz7yfMBAAAHBAAADgAAAAAAAAABACAAAAAoAQAAZHJzL2Uyb0RvYy54bWxQ&#10;SwUGAAAAAAYABgBZAQAAjQUAAAAA&#10;">
                <v:fill on="f" focussize="0,0"/>
                <v:stroke weight="2pt" color="#000000" joinstyle="miter" dashstyle="1 1" endcap="round"/>
                <v:imagedata o:title=""/>
                <o:lock v:ext="edit" aspectratio="f"/>
              </v:rect>
            </w:pict>
          </mc:Fallback>
        </mc:AlternateContent>
      </w:r>
      <w:r>
        <w:rPr>
          <w:rFonts w:hint="default" w:ascii="Times New Roman" w:hAnsi="Times New Roman" w:eastAsia="黑体" w:cs="Times New Roman"/>
          <w:bCs/>
          <w:color w:val="auto"/>
          <w:sz w:val="44"/>
          <w:szCs w:val="44"/>
        </w:rPr>
        <w:t>装配式建筑物化阶段</w:t>
      </w:r>
    </w:p>
    <w:p w14:paraId="08CFEFAA">
      <w:pPr>
        <w:tabs>
          <w:tab w:val="left" w:pos="851"/>
          <w:tab w:val="left" w:pos="1620"/>
          <w:tab w:val="left" w:pos="1800"/>
        </w:tabs>
        <w:spacing w:line="240" w:lineRule="auto"/>
        <w:ind w:firstLine="440" w:firstLineChars="100"/>
        <w:jc w:val="left"/>
        <w:rPr>
          <w:rFonts w:hint="default" w:ascii="Times New Roman" w:hAnsi="Times New Roman" w:eastAsia="黑体" w:cs="Times New Roman"/>
          <w:bCs/>
          <w:color w:val="auto"/>
          <w:sz w:val="32"/>
          <w:szCs w:val="32"/>
          <w:lang w:val="en-US" w:eastAsia="zh-CN"/>
        </w:rPr>
      </w:pPr>
      <w:r>
        <w:rPr>
          <w:rFonts w:hint="default" w:ascii="Times New Roman" w:hAnsi="Times New Roman" w:eastAsia="黑体" w:cs="Times New Roman"/>
          <w:bCs/>
          <w:color w:val="auto"/>
          <w:sz w:val="44"/>
          <w:szCs w:val="44"/>
        </w:rPr>
        <w:t>碳排放技术要求</w:t>
      </w:r>
      <w:r>
        <w:rPr>
          <w:rFonts w:hint="default" w:ascii="Times New Roman" w:hAnsi="Times New Roman" w:eastAsia="黑体" w:cs="Times New Roman"/>
          <w:bCs/>
          <w:color w:val="auto"/>
          <w:sz w:val="44"/>
          <w:szCs w:val="44"/>
          <w:lang w:val="en-US" w:eastAsia="zh-CN"/>
        </w:rPr>
        <w:t xml:space="preserve">         </w:t>
      </w:r>
      <w:r>
        <w:rPr>
          <w:rFonts w:hint="eastAsia" w:eastAsia="黑体" w:cs="Times New Roman"/>
          <w:bCs/>
          <w:color w:val="auto"/>
          <w:sz w:val="44"/>
          <w:szCs w:val="44"/>
          <w:lang w:val="en-US" w:eastAsia="zh-CN"/>
        </w:rPr>
        <w:t xml:space="preserve">           </w:t>
      </w:r>
      <w:r>
        <w:rPr>
          <w:rFonts w:hint="default" w:ascii="Times New Roman" w:hAnsi="Times New Roman" w:eastAsia="黑体" w:cs="Times New Roman"/>
          <w:bCs/>
          <w:color w:val="auto"/>
          <w:sz w:val="44"/>
          <w:szCs w:val="44"/>
          <w:lang w:val="en-US" w:eastAsia="zh-CN"/>
        </w:rPr>
        <w:t xml:space="preserve"> </w:t>
      </w:r>
      <w:r>
        <w:rPr>
          <w:rFonts w:hint="default" w:ascii="Times New Roman" w:hAnsi="Times New Roman" w:eastAsia="黑体" w:cs="Times New Roman"/>
          <w:bCs/>
          <w:color w:val="auto"/>
          <w:sz w:val="28"/>
          <w:szCs w:val="28"/>
          <w:lang w:val="en-US" w:eastAsia="zh-CN"/>
        </w:rPr>
        <w:t>JJF ××××—××××</w:t>
      </w:r>
    </w:p>
    <w:p w14:paraId="6A6FBDC6">
      <w:pPr>
        <w:autoSpaceDE w:val="0"/>
        <w:autoSpaceDN w:val="0"/>
        <w:adjustRightInd w:val="0"/>
        <w:snapToGrid w:val="0"/>
        <w:spacing w:before="156" w:beforeLines="50" w:line="240" w:lineRule="auto"/>
        <w:ind w:firstLine="283"/>
        <w:jc w:val="left"/>
        <w:rPr>
          <w:rFonts w:hint="default" w:ascii="Times New Roman" w:hAnsi="Times New Roman" w:eastAsia="黑体" w:cs="Times New Roman"/>
          <w:b/>
          <w:color w:val="auto"/>
          <w:sz w:val="28"/>
          <w:szCs w:val="28"/>
        </w:rPr>
      </w:pPr>
      <w:r>
        <w:rPr>
          <w:rFonts w:hint="default" w:ascii="Times New Roman" w:hAnsi="Times New Roman" w:eastAsia="黑体" w:cs="Times New Roman"/>
          <w:b/>
          <w:color w:val="auto"/>
          <w:sz w:val="28"/>
          <w:szCs w:val="28"/>
        </w:rPr>
        <w:t>Technical Requirement for Carbon</w:t>
      </w:r>
    </w:p>
    <w:p w14:paraId="5DBA9731">
      <w:pPr>
        <w:autoSpaceDE w:val="0"/>
        <w:autoSpaceDN w:val="0"/>
        <w:adjustRightInd w:val="0"/>
        <w:snapToGrid w:val="0"/>
        <w:spacing w:before="156" w:beforeLines="50" w:line="240" w:lineRule="auto"/>
        <w:ind w:firstLine="283"/>
        <w:jc w:val="left"/>
        <w:rPr>
          <w:rFonts w:hint="default" w:ascii="Times New Roman" w:hAnsi="Times New Roman" w:eastAsia="黑体" w:cs="Times New Roman"/>
          <w:b/>
          <w:color w:val="auto"/>
          <w:sz w:val="28"/>
          <w:szCs w:val="28"/>
        </w:rPr>
      </w:pPr>
      <w:r>
        <w:rPr>
          <w:rFonts w:hint="default" w:ascii="Times New Roman" w:hAnsi="Times New Roman" w:eastAsia="黑体" w:cs="Times New Roman"/>
          <w:b/>
          <w:color w:val="auto"/>
          <w:sz w:val="28"/>
          <w:szCs w:val="28"/>
        </w:rPr>
        <w:t>Emission in Prefabricated</w:t>
      </w:r>
      <w:r>
        <w:rPr>
          <w:rFonts w:hint="eastAsia" w:eastAsia="黑体" w:cs="Times New Roman"/>
          <w:b/>
          <w:color w:val="auto"/>
          <w:sz w:val="28"/>
          <w:szCs w:val="28"/>
          <w:lang w:val="en-US" w:eastAsia="zh-CN"/>
        </w:rPr>
        <w:t xml:space="preserve"> </w:t>
      </w:r>
      <w:r>
        <w:rPr>
          <w:rFonts w:hint="default" w:ascii="Times New Roman" w:hAnsi="Times New Roman" w:eastAsia="黑体" w:cs="Times New Roman"/>
          <w:b/>
          <w:color w:val="auto"/>
          <w:sz w:val="28"/>
          <w:szCs w:val="28"/>
        </w:rPr>
        <w:t>Building</w:t>
      </w:r>
    </w:p>
    <w:p w14:paraId="60A9DEAE">
      <w:pPr>
        <w:autoSpaceDE w:val="0"/>
        <w:autoSpaceDN w:val="0"/>
        <w:adjustRightInd w:val="0"/>
        <w:snapToGrid w:val="0"/>
        <w:spacing w:before="156" w:beforeLines="50" w:line="240" w:lineRule="auto"/>
        <w:ind w:firstLine="283"/>
        <w:jc w:val="left"/>
        <w:rPr>
          <w:rFonts w:hint="default" w:ascii="Times New Roman" w:hAnsi="Times New Roman" w:eastAsia="黑体" w:cs="Times New Roman"/>
          <w:b/>
          <w:color w:val="auto"/>
          <w:sz w:val="28"/>
          <w:szCs w:val="28"/>
        </w:rPr>
      </w:pPr>
      <w:r>
        <w:rPr>
          <w:rFonts w:hint="default" w:ascii="Times New Roman" w:hAnsi="Times New Roman" w:eastAsia="黑体" w:cs="Times New Roman"/>
          <w:b/>
          <w:color w:val="auto"/>
          <w:sz w:val="28"/>
          <w:szCs w:val="28"/>
        </w:rPr>
        <w:t>Materialization Stage</w:t>
      </w:r>
    </w:p>
    <w:p w14:paraId="6FD09F30">
      <w:pPr>
        <w:tabs>
          <w:tab w:val="left" w:pos="1620"/>
          <w:tab w:val="left" w:pos="1800"/>
        </w:tabs>
        <w:ind w:firstLine="480"/>
        <w:rPr>
          <w:rFonts w:hint="default" w:ascii="Times New Roman" w:hAnsi="Times New Roman" w:cs="Times New Roman"/>
          <w:color w:val="auto"/>
          <w:sz w:val="28"/>
        </w:rPr>
      </w:pPr>
      <w:r>
        <w:rPr>
          <w:rFonts w:hint="default" w:ascii="Times New Roman" w:hAnsi="Times New Roman" w:cs="Times New Roman"/>
          <w:color w:val="auto"/>
        </w:rPr>
        <mc:AlternateContent>
          <mc:Choice Requires="wps">
            <w:drawing>
              <wp:anchor distT="0" distB="0" distL="114300" distR="114300" simplePos="0" relativeHeight="251661312" behindDoc="0" locked="0" layoutInCell="1" allowOverlap="1">
                <wp:simplePos x="0" y="0"/>
                <wp:positionH relativeFrom="column">
                  <wp:posOffset>-27305</wp:posOffset>
                </wp:positionH>
                <wp:positionV relativeFrom="paragraph">
                  <wp:posOffset>221615</wp:posOffset>
                </wp:positionV>
                <wp:extent cx="5732145" cy="10160"/>
                <wp:effectExtent l="0" t="0" r="0" b="0"/>
                <wp:wrapNone/>
                <wp:docPr id="3" name="直线 23"/>
                <wp:cNvGraphicFramePr/>
                <a:graphic xmlns:a="http://schemas.openxmlformats.org/drawingml/2006/main">
                  <a:graphicData uri="http://schemas.microsoft.com/office/word/2010/wordprocessingShape">
                    <wps:wsp>
                      <wps:cNvCnPr/>
                      <wps:spPr>
                        <a:xfrm>
                          <a:off x="0" y="0"/>
                          <a:ext cx="5542280" cy="19050"/>
                        </a:xfrm>
                        <a:prstGeom prst="line">
                          <a:avLst/>
                        </a:prstGeom>
                        <a:ln w="9525" cap="flat" cmpd="sng">
                          <a:solidFill>
                            <a:srgbClr val="000000"/>
                          </a:solidFill>
                          <a:prstDash val="solid"/>
                          <a:headEnd type="none" w="med" len="med"/>
                          <a:tailEnd type="none" w="med" len="med"/>
                        </a:ln>
                        <a:effectLst/>
                      </wps:spPr>
                      <wps:bodyPr/>
                    </wps:wsp>
                  </a:graphicData>
                </a:graphic>
              </wp:anchor>
            </w:drawing>
          </mc:Choice>
          <mc:Fallback>
            <w:pict>
              <v:line id="直线 23" o:spid="_x0000_s1026" o:spt="20" style="position:absolute;left:0pt;margin-left:-2.15pt;margin-top:17.45pt;height:0.8pt;width:451.35pt;z-index:251661312;mso-width-relative:page;mso-height-relative:page;" filled="f" stroked="t" coordsize="21600,21600" o:gfxdata="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D8&#10;gTvN2AAAAAgBAAAPAAAAAAAAAAEAIAAAACIAAABkcnMvZG93bnJldi54bWxQSwECFAAUAAAACACH&#10;TuJA7nDHyesBAADiAwAADgAAAAAAAAABACAAAAAnAQAAZHJzL2Uyb0RvYy54bWxQSwUGAAAAAAYA&#10;BgBZAQAAhAUAAAAA&#10;">
                <v:fill on="f" focussize="0,0"/>
                <v:stroke color="#000000" joinstyle="round"/>
                <v:imagedata o:title=""/>
                <o:lock v:ext="edit" aspectratio="f"/>
              </v:line>
            </w:pict>
          </mc:Fallback>
        </mc:AlternateContent>
      </w:r>
    </w:p>
    <w:p w14:paraId="3177D672">
      <w:pPr>
        <w:tabs>
          <w:tab w:val="left" w:pos="1620"/>
          <w:tab w:val="left" w:pos="1800"/>
        </w:tabs>
        <w:ind w:firstLine="560"/>
        <w:rPr>
          <w:rFonts w:hint="default" w:ascii="Times New Roman" w:hAnsi="Times New Roman" w:cs="Times New Roman"/>
          <w:color w:val="auto"/>
          <w:sz w:val="28"/>
        </w:rPr>
      </w:pPr>
    </w:p>
    <w:p w14:paraId="5D6A9D5E">
      <w:pPr>
        <w:tabs>
          <w:tab w:val="left" w:pos="1620"/>
          <w:tab w:val="left" w:pos="1800"/>
        </w:tabs>
        <w:spacing w:line="240" w:lineRule="auto"/>
        <w:ind w:firstLine="560"/>
        <w:rPr>
          <w:rFonts w:hint="default" w:ascii="Times New Roman" w:hAnsi="Times New Roman" w:cs="Times New Roman"/>
          <w:color w:val="auto"/>
          <w:sz w:val="28"/>
        </w:rPr>
      </w:pPr>
    </w:p>
    <w:p w14:paraId="5E2403B3">
      <w:pPr>
        <w:tabs>
          <w:tab w:val="left" w:pos="1620"/>
          <w:tab w:val="left" w:pos="1800"/>
        </w:tabs>
        <w:spacing w:line="240" w:lineRule="auto"/>
        <w:ind w:left="2528" w:leftChars="260" w:hanging="1904" w:hangingChars="680"/>
        <w:rPr>
          <w:rStyle w:val="46"/>
          <w:rFonts w:hint="default" w:ascii="Times New Roman" w:hAnsi="Times New Roman" w:cs="Times New Roman"/>
          <w:color w:val="auto"/>
        </w:rPr>
      </w:pPr>
      <w:r>
        <w:rPr>
          <w:rFonts w:hint="default" w:ascii="Times New Roman" w:hAnsi="Times New Roman" w:eastAsia="黑体" w:cs="Times New Roman"/>
          <w:color w:val="auto"/>
          <w:sz w:val="28"/>
        </w:rPr>
        <w:t>归  口  单  位：</w:t>
      </w:r>
      <w:r>
        <w:rPr>
          <w:rStyle w:val="46"/>
          <w:rFonts w:hint="default" w:ascii="Times New Roman" w:hAnsi="Times New Roman" w:cs="Times New Roman"/>
          <w:color w:val="auto"/>
        </w:rPr>
        <w:t>全国碳达峰碳中和计量技术委员会建筑碳计量分技术委员会</w:t>
      </w:r>
    </w:p>
    <w:p w14:paraId="26AEE117">
      <w:pPr>
        <w:tabs>
          <w:tab w:val="left" w:pos="1276"/>
          <w:tab w:val="left" w:pos="1985"/>
        </w:tabs>
        <w:spacing w:line="240" w:lineRule="auto"/>
        <w:ind w:firstLine="560" w:firstLineChars="200"/>
        <w:rPr>
          <w:rFonts w:hint="default" w:ascii="Times New Roman" w:hAnsi="Times New Roman" w:cs="Times New Roman"/>
          <w:color w:val="auto"/>
          <w:sz w:val="28"/>
        </w:rPr>
      </w:pPr>
      <w:r>
        <w:rPr>
          <w:rFonts w:hint="default" w:ascii="Times New Roman" w:hAnsi="Times New Roman" w:eastAsia="黑体" w:cs="Times New Roman"/>
          <w:color w:val="auto"/>
          <w:sz w:val="28"/>
        </w:rPr>
        <w:t>主要起草单位：</w:t>
      </w:r>
      <w:r>
        <w:rPr>
          <w:rFonts w:hint="default" w:ascii="Times New Roman" w:hAnsi="Times New Roman" w:cs="Times New Roman"/>
          <w:color w:val="auto"/>
          <w:sz w:val="28"/>
        </w:rPr>
        <w:t>中国建筑科学研究院有限公司</w:t>
      </w:r>
    </w:p>
    <w:p w14:paraId="1DFDFAE3">
      <w:pPr>
        <w:tabs>
          <w:tab w:val="left" w:pos="1276"/>
          <w:tab w:val="left" w:pos="1985"/>
        </w:tabs>
        <w:spacing w:line="240" w:lineRule="auto"/>
        <w:ind w:firstLine="2520" w:firstLineChars="900"/>
        <w:rPr>
          <w:rFonts w:hint="default" w:ascii="Times New Roman" w:hAnsi="Times New Roman" w:cs="Times New Roman"/>
          <w:color w:val="auto"/>
          <w:sz w:val="28"/>
        </w:rPr>
      </w:pPr>
      <w:r>
        <w:rPr>
          <w:rFonts w:hint="default" w:ascii="Times New Roman" w:hAnsi="Times New Roman" w:cs="Times New Roman"/>
          <w:color w:val="auto"/>
          <w:sz w:val="28"/>
        </w:rPr>
        <w:t>住房和城乡建设部科技与产业化发展中心</w:t>
      </w:r>
    </w:p>
    <w:p w14:paraId="338E8D8A">
      <w:pPr>
        <w:tabs>
          <w:tab w:val="left" w:pos="1276"/>
          <w:tab w:val="left" w:pos="1985"/>
        </w:tabs>
        <w:spacing w:line="240" w:lineRule="auto"/>
        <w:ind w:firstLine="2520" w:firstLineChars="900"/>
        <w:rPr>
          <w:rFonts w:hint="default" w:ascii="Times New Roman" w:hAnsi="Times New Roman" w:cs="Times New Roman"/>
          <w:color w:val="auto"/>
          <w:sz w:val="28"/>
        </w:rPr>
      </w:pPr>
      <w:r>
        <w:rPr>
          <w:rFonts w:hint="default" w:ascii="Times New Roman" w:hAnsi="Times New Roman" w:cs="Times New Roman"/>
          <w:color w:val="auto"/>
          <w:sz w:val="28"/>
        </w:rPr>
        <w:t>绍兴市能源检测院</w:t>
      </w:r>
    </w:p>
    <w:p w14:paraId="7ED8AE03">
      <w:pPr>
        <w:tabs>
          <w:tab w:val="left" w:pos="1620"/>
          <w:tab w:val="left" w:pos="1800"/>
        </w:tabs>
        <w:spacing w:line="240" w:lineRule="auto"/>
        <w:ind w:firstLine="560" w:firstLineChars="200"/>
        <w:rPr>
          <w:rFonts w:hint="default" w:ascii="Times New Roman" w:hAnsi="Times New Roman" w:cs="Times New Roman"/>
          <w:color w:val="auto"/>
          <w:sz w:val="28"/>
        </w:rPr>
      </w:pPr>
      <w:r>
        <w:rPr>
          <w:rFonts w:hint="default" w:ascii="Times New Roman" w:hAnsi="Times New Roman" w:eastAsia="黑体" w:cs="Times New Roman"/>
          <w:color w:val="auto"/>
          <w:sz w:val="28"/>
        </w:rPr>
        <w:t>参加起草单位：</w:t>
      </w:r>
      <w:r>
        <w:rPr>
          <w:rFonts w:hint="default" w:ascii="Times New Roman" w:hAnsi="Times New Roman" w:cs="Times New Roman"/>
          <w:color w:val="auto"/>
          <w:sz w:val="28"/>
        </w:rPr>
        <w:t>中建研科技股份有限公司</w:t>
      </w:r>
    </w:p>
    <w:p w14:paraId="5998A2D9">
      <w:pPr>
        <w:tabs>
          <w:tab w:val="left" w:pos="1620"/>
          <w:tab w:val="left" w:pos="1800"/>
        </w:tabs>
        <w:spacing w:line="240" w:lineRule="auto"/>
        <w:ind w:firstLine="2520" w:firstLineChars="900"/>
        <w:rPr>
          <w:rFonts w:hint="default" w:ascii="Times New Roman" w:hAnsi="Times New Roman" w:cs="Times New Roman"/>
          <w:color w:val="auto"/>
          <w:sz w:val="28"/>
        </w:rPr>
      </w:pPr>
    </w:p>
    <w:p w14:paraId="4FAC3F1D">
      <w:pPr>
        <w:tabs>
          <w:tab w:val="left" w:pos="1620"/>
          <w:tab w:val="left" w:pos="1800"/>
        </w:tabs>
        <w:spacing w:line="240" w:lineRule="auto"/>
        <w:ind w:firstLine="2520" w:firstLineChars="900"/>
        <w:rPr>
          <w:rFonts w:hint="default" w:ascii="Times New Roman" w:hAnsi="Times New Roman" w:cs="Times New Roman"/>
          <w:color w:val="auto"/>
          <w:sz w:val="28"/>
        </w:rPr>
      </w:pPr>
    </w:p>
    <w:p w14:paraId="1DFE2509">
      <w:pPr>
        <w:tabs>
          <w:tab w:val="left" w:pos="1620"/>
          <w:tab w:val="left" w:pos="1800"/>
        </w:tabs>
        <w:spacing w:line="240" w:lineRule="auto"/>
        <w:ind w:firstLine="2240" w:firstLineChars="800"/>
        <w:rPr>
          <w:rFonts w:hint="default" w:ascii="Times New Roman" w:hAnsi="Times New Roman" w:cs="Times New Roman"/>
          <w:color w:val="auto"/>
          <w:sz w:val="28"/>
        </w:rPr>
      </w:pPr>
    </w:p>
    <w:p w14:paraId="39DF9A85">
      <w:pPr>
        <w:tabs>
          <w:tab w:val="left" w:pos="1620"/>
          <w:tab w:val="left" w:pos="1800"/>
        </w:tabs>
        <w:spacing w:line="240" w:lineRule="auto"/>
        <w:ind w:firstLine="2240" w:firstLineChars="800"/>
        <w:rPr>
          <w:rFonts w:hint="default" w:ascii="Times New Roman" w:hAnsi="Times New Roman" w:cs="Times New Roman"/>
          <w:color w:val="auto"/>
          <w:sz w:val="28"/>
        </w:rPr>
      </w:pPr>
    </w:p>
    <w:p w14:paraId="5237A866">
      <w:pPr>
        <w:tabs>
          <w:tab w:val="left" w:pos="1620"/>
          <w:tab w:val="left" w:pos="1800"/>
        </w:tabs>
        <w:spacing w:line="240" w:lineRule="auto"/>
        <w:ind w:firstLine="2240" w:firstLineChars="800"/>
        <w:rPr>
          <w:rFonts w:hint="default" w:ascii="Times New Roman" w:hAnsi="Times New Roman" w:cs="Times New Roman"/>
          <w:color w:val="auto"/>
          <w:sz w:val="28"/>
        </w:rPr>
      </w:pPr>
    </w:p>
    <w:p w14:paraId="3C4420DB">
      <w:pPr>
        <w:pStyle w:val="45"/>
        <w:ind w:firstLine="560"/>
        <w:rPr>
          <w:rFonts w:hint="default" w:ascii="Times New Roman" w:hAnsi="Times New Roman" w:cs="Times New Roman"/>
          <w:color w:val="auto"/>
        </w:rPr>
      </w:pPr>
      <w:r>
        <w:rPr>
          <w:rFonts w:hint="default" w:ascii="Times New Roman" w:hAnsi="Times New Roman" w:cs="Times New Roman"/>
          <w:color w:val="auto"/>
        </w:rPr>
        <w:t>本规范委托全国碳达峰碳中和计量技术委员会建筑碳计量分技术委员会负责解释</w:t>
      </w:r>
    </w:p>
    <w:p w14:paraId="1CAD3632">
      <w:pPr>
        <w:pStyle w:val="18"/>
        <w:spacing w:after="312" w:line="240" w:lineRule="auto"/>
        <w:ind w:firstLine="240"/>
        <w:rPr>
          <w:rFonts w:hint="default" w:ascii="Times New Roman" w:hAnsi="Times New Roman" w:cs="Times New Roman"/>
          <w:color w:val="auto"/>
        </w:rPr>
      </w:pPr>
    </w:p>
    <w:p w14:paraId="3C04DE54">
      <w:pPr>
        <w:pStyle w:val="18"/>
        <w:spacing w:after="312" w:line="240" w:lineRule="auto"/>
        <w:ind w:firstLine="240"/>
        <w:rPr>
          <w:rFonts w:hint="default" w:ascii="Times New Roman" w:hAnsi="Times New Roman" w:cs="Times New Roman"/>
          <w:color w:val="auto"/>
        </w:rPr>
      </w:pPr>
    </w:p>
    <w:p w14:paraId="21D1FEE7">
      <w:pPr>
        <w:ind w:firstLine="562"/>
        <w:rPr>
          <w:rFonts w:hint="default" w:ascii="Times New Roman" w:hAnsi="Times New Roman" w:cs="Times New Roman"/>
          <w:b/>
          <w:bCs/>
          <w:color w:val="auto"/>
          <w:sz w:val="28"/>
          <w:szCs w:val="28"/>
        </w:rPr>
      </w:pPr>
      <w:r>
        <w:rPr>
          <w:rFonts w:hint="default" w:ascii="Times New Roman" w:hAnsi="Times New Roman" w:cs="Times New Roman"/>
          <w:b/>
          <w:bCs/>
          <w:color w:val="auto"/>
          <w:sz w:val="28"/>
          <w:szCs w:val="28"/>
        </w:rPr>
        <w:t>本规范主要起草人：</w:t>
      </w:r>
    </w:p>
    <w:p w14:paraId="102CBB36">
      <w:pPr>
        <w:tabs>
          <w:tab w:val="left" w:pos="1276"/>
          <w:tab w:val="left" w:pos="1985"/>
        </w:tabs>
        <w:ind w:firstLine="560" w:firstLineChars="200"/>
        <w:rPr>
          <w:rFonts w:hint="default" w:ascii="Times New Roman" w:hAnsi="Times New Roman" w:cs="Times New Roman"/>
          <w:color w:val="auto"/>
          <w:sz w:val="28"/>
        </w:rPr>
      </w:pPr>
      <w:r>
        <w:rPr>
          <w:rFonts w:hint="default" w:ascii="Times New Roman" w:hAnsi="Times New Roman" w:eastAsia="黑体" w:cs="Times New Roman"/>
          <w:color w:val="auto"/>
          <w:sz w:val="28"/>
          <w:szCs w:val="28"/>
        </w:rPr>
        <w:t xml:space="preserve">                </w:t>
      </w:r>
      <w:r>
        <w:rPr>
          <w:rFonts w:hint="default" w:ascii="Times New Roman" w:hAnsi="Times New Roman" w:cs="Times New Roman"/>
          <w:color w:val="auto"/>
          <w:sz w:val="28"/>
          <w:szCs w:val="28"/>
        </w:rPr>
        <w:t>关运龙（</w:t>
      </w:r>
      <w:r>
        <w:rPr>
          <w:rFonts w:hint="default" w:ascii="Times New Roman" w:hAnsi="Times New Roman" w:cs="Times New Roman"/>
          <w:color w:val="auto"/>
          <w:sz w:val="28"/>
        </w:rPr>
        <w:t>中国建筑科学研究院有限公司）</w:t>
      </w:r>
    </w:p>
    <w:p w14:paraId="1F16D18C">
      <w:pPr>
        <w:tabs>
          <w:tab w:val="left" w:pos="1276"/>
          <w:tab w:val="left" w:pos="1985"/>
        </w:tabs>
        <w:ind w:firstLine="560"/>
        <w:rPr>
          <w:rFonts w:hint="default" w:ascii="Times New Roman" w:hAnsi="Times New Roman" w:cs="Times New Roman"/>
          <w:color w:val="auto"/>
          <w:sz w:val="28"/>
        </w:rPr>
      </w:pPr>
      <w:r>
        <w:rPr>
          <w:rFonts w:hint="default" w:ascii="Times New Roman" w:hAnsi="Times New Roman" w:cs="Times New Roman"/>
          <w:color w:val="auto"/>
          <w:sz w:val="28"/>
        </w:rPr>
        <w:t xml:space="preserve">                马欣伯（住房和城乡建设部科技与产业化发展中心）</w:t>
      </w:r>
    </w:p>
    <w:p w14:paraId="4971B3E9">
      <w:pPr>
        <w:tabs>
          <w:tab w:val="left" w:pos="1276"/>
          <w:tab w:val="left" w:pos="1985"/>
        </w:tabs>
        <w:ind w:firstLine="560"/>
        <w:rPr>
          <w:rFonts w:hint="default" w:ascii="Times New Roman" w:hAnsi="Times New Roman" w:cs="Times New Roman"/>
          <w:color w:val="auto"/>
          <w:sz w:val="28"/>
        </w:rPr>
      </w:pPr>
      <w:r>
        <w:rPr>
          <w:rFonts w:hint="default" w:ascii="Times New Roman" w:hAnsi="Times New Roman" w:cs="Times New Roman"/>
          <w:color w:val="auto"/>
          <w:sz w:val="28"/>
        </w:rPr>
        <w:t xml:space="preserve">                俞陈光（绍兴市能源检测院）</w:t>
      </w:r>
    </w:p>
    <w:p w14:paraId="2A0FD97F">
      <w:pPr>
        <w:tabs>
          <w:tab w:val="left" w:pos="1276"/>
          <w:tab w:val="left" w:pos="1985"/>
        </w:tabs>
        <w:ind w:firstLine="560"/>
        <w:rPr>
          <w:rFonts w:hint="default" w:ascii="Times New Roman" w:hAnsi="Times New Roman" w:cs="Times New Roman"/>
          <w:color w:val="auto"/>
          <w:sz w:val="28"/>
        </w:rPr>
      </w:pPr>
      <w:r>
        <w:rPr>
          <w:rFonts w:hint="default" w:ascii="Times New Roman" w:hAnsi="Times New Roman" w:cs="Times New Roman"/>
          <w:color w:val="auto"/>
          <w:sz w:val="28"/>
        </w:rPr>
        <w:t xml:space="preserve">                衣晓锋（绍兴市能源检测院）</w:t>
      </w:r>
    </w:p>
    <w:p w14:paraId="3D17AD89">
      <w:pPr>
        <w:ind w:firstLine="562"/>
        <w:rPr>
          <w:rFonts w:hint="default" w:ascii="Times New Roman" w:hAnsi="Times New Roman" w:cs="Times New Roman"/>
          <w:b/>
          <w:bCs/>
          <w:color w:val="auto"/>
          <w:sz w:val="28"/>
          <w:szCs w:val="28"/>
        </w:rPr>
      </w:pPr>
      <w:r>
        <w:rPr>
          <w:rFonts w:hint="default" w:ascii="Times New Roman" w:hAnsi="Times New Roman" w:cs="Times New Roman"/>
          <w:b/>
          <w:bCs/>
          <w:color w:val="auto"/>
          <w:sz w:val="28"/>
          <w:szCs w:val="28"/>
        </w:rPr>
        <w:t>参加起草人：</w:t>
      </w:r>
    </w:p>
    <w:p w14:paraId="506936C9">
      <w:pPr>
        <w:tabs>
          <w:tab w:val="left" w:pos="1276"/>
          <w:tab w:val="left" w:pos="1985"/>
        </w:tabs>
        <w:ind w:firstLine="1400" w:firstLineChars="500"/>
        <w:rPr>
          <w:rFonts w:hint="default" w:ascii="Times New Roman" w:hAnsi="Times New Roman" w:cs="Times New Roman"/>
          <w:color w:val="auto"/>
          <w:sz w:val="28"/>
        </w:rPr>
      </w:pPr>
      <w:r>
        <w:rPr>
          <w:rFonts w:hint="default" w:ascii="Times New Roman" w:hAnsi="Times New Roman" w:eastAsia="黑体" w:cs="Times New Roman"/>
          <w:color w:val="auto"/>
          <w:sz w:val="28"/>
          <w:szCs w:val="28"/>
        </w:rPr>
        <w:t xml:space="preserve">    </w:t>
      </w:r>
      <w:r>
        <w:rPr>
          <w:rFonts w:hint="default" w:ascii="Times New Roman" w:hAnsi="Times New Roman" w:cs="Times New Roman"/>
          <w:color w:val="auto"/>
          <w:sz w:val="28"/>
          <w:szCs w:val="28"/>
        </w:rPr>
        <w:t>邓高峰（中建研科技股份有限公司</w:t>
      </w:r>
      <w:r>
        <w:rPr>
          <w:rFonts w:hint="default" w:ascii="Times New Roman" w:hAnsi="Times New Roman" w:cs="Times New Roman"/>
          <w:color w:val="auto"/>
          <w:sz w:val="28"/>
        </w:rPr>
        <w:t>）</w:t>
      </w:r>
    </w:p>
    <w:p w14:paraId="6F67AAF0">
      <w:pPr>
        <w:rPr>
          <w:rFonts w:hint="default" w:ascii="Times New Roman" w:hAnsi="Times New Roman" w:cs="Times New Roman"/>
          <w:color w:val="auto"/>
          <w:szCs w:val="24"/>
        </w:rPr>
      </w:pPr>
    </w:p>
    <w:p w14:paraId="7715A4EE">
      <w:pPr>
        <w:rPr>
          <w:rFonts w:hint="default" w:ascii="Times New Roman" w:hAnsi="Times New Roman" w:cs="Times New Roman"/>
          <w:color w:val="auto"/>
          <w:szCs w:val="24"/>
        </w:rPr>
        <w:sectPr>
          <w:headerReference r:id="rId5" w:type="default"/>
          <w:pgSz w:w="11906" w:h="16838"/>
          <w:pgMar w:top="1361" w:right="1418" w:bottom="1361" w:left="1418" w:header="851" w:footer="992" w:gutter="0"/>
          <w:cols w:space="425" w:num="1"/>
          <w:docGrid w:type="lines" w:linePitch="312" w:charSpace="0"/>
        </w:sectPr>
      </w:pPr>
    </w:p>
    <w:sdt>
      <w:sdtPr>
        <w:rPr>
          <w:rFonts w:hint="default" w:ascii="Times New Roman" w:hAnsi="Times New Roman" w:cs="Times New Roman" w:eastAsiaTheme="minorEastAsia"/>
          <w:color w:val="auto"/>
          <w:kern w:val="2"/>
          <w:sz w:val="21"/>
          <w:szCs w:val="22"/>
          <w:lang w:val="zh-CN"/>
        </w:rPr>
        <w:id w:val="1620645379"/>
        <w:docPartObj>
          <w:docPartGallery w:val="Table of Contents"/>
          <w:docPartUnique/>
        </w:docPartObj>
      </w:sdtPr>
      <w:sdtEndPr>
        <w:rPr>
          <w:rFonts w:hint="default" w:ascii="Times New Roman" w:hAnsi="Times New Roman" w:eastAsia="宋体" w:cs="Times New Roman"/>
          <w:color w:val="auto"/>
          <w:kern w:val="2"/>
          <w:sz w:val="21"/>
          <w:szCs w:val="22"/>
          <w:lang w:val="zh-CN"/>
        </w:rPr>
      </w:sdtEndPr>
      <w:sdtContent>
        <w:p w14:paraId="14654675">
          <w:pPr>
            <w:pStyle w:val="34"/>
            <w:spacing w:before="312" w:after="312" w:line="360" w:lineRule="auto"/>
            <w:jc w:val="center"/>
            <w:rPr>
              <w:rFonts w:hint="default" w:ascii="Times New Roman" w:hAnsi="Times New Roman" w:eastAsia="黑体" w:cs="Times New Roman"/>
              <w:color w:val="auto"/>
              <w:sz w:val="44"/>
              <w:szCs w:val="44"/>
            </w:rPr>
          </w:pPr>
          <w:r>
            <w:rPr>
              <w:rFonts w:hint="default" w:ascii="Times New Roman" w:hAnsi="Times New Roman" w:eastAsia="黑体" w:cs="Times New Roman"/>
              <w:color w:val="auto"/>
              <w:sz w:val="44"/>
              <w:szCs w:val="44"/>
              <w:lang w:val="zh-CN"/>
            </w:rPr>
            <w:t>目  录</w:t>
          </w:r>
        </w:p>
        <w:p w14:paraId="0F690F84">
          <w:pPr>
            <w:pStyle w:val="14"/>
            <w:tabs>
              <w:tab w:val="right" w:leader="dot" w:pos="8306"/>
              <w:tab w:val="clear" w:pos="8296"/>
            </w:tabs>
            <w:rPr>
              <w:rFonts w:hint="default" w:ascii="Times New Roman" w:hAnsi="Times New Roman" w:cs="Times New Roman"/>
              <w:color w:val="auto"/>
            </w:rPr>
          </w:pPr>
          <w:r>
            <w:rPr>
              <w:rFonts w:hint="default" w:ascii="Times New Roman" w:hAnsi="Times New Roman" w:cs="Times New Roman"/>
              <w:color w:val="auto"/>
              <w:szCs w:val="24"/>
            </w:rPr>
            <w:fldChar w:fldCharType="begin"/>
          </w:r>
          <w:r>
            <w:rPr>
              <w:rFonts w:hint="default" w:ascii="Times New Roman" w:hAnsi="Times New Roman" w:cs="Times New Roman"/>
              <w:color w:val="auto"/>
              <w:szCs w:val="24"/>
            </w:rPr>
            <w:instrText xml:space="preserve"> TOC \o "1-3" \h \z \u </w:instrText>
          </w:r>
          <w:r>
            <w:rPr>
              <w:rFonts w:hint="default" w:ascii="Times New Roman" w:hAnsi="Times New Roman" w:cs="Times New Roman"/>
              <w:color w:val="auto"/>
              <w:szCs w:val="24"/>
            </w:rPr>
            <w:fldChar w:fldCharType="separate"/>
          </w:r>
          <w:r>
            <w:rPr>
              <w:rFonts w:hint="default" w:ascii="Times New Roman" w:hAnsi="Times New Roman" w:cs="Times New Roman"/>
              <w:color w:val="auto"/>
              <w:szCs w:val="24"/>
            </w:rPr>
            <w:fldChar w:fldCharType="begin"/>
          </w:r>
          <w:r>
            <w:rPr>
              <w:rFonts w:hint="default" w:ascii="Times New Roman" w:hAnsi="Times New Roman" w:cs="Times New Roman"/>
              <w:color w:val="auto"/>
              <w:szCs w:val="24"/>
            </w:rPr>
            <w:instrText xml:space="preserve"> HYPERLINK \l _Toc32700 </w:instrText>
          </w:r>
          <w:r>
            <w:rPr>
              <w:rFonts w:hint="default" w:ascii="Times New Roman" w:hAnsi="Times New Roman" w:cs="Times New Roman"/>
              <w:color w:val="auto"/>
              <w:szCs w:val="24"/>
            </w:rPr>
            <w:fldChar w:fldCharType="separate"/>
          </w:r>
          <w:r>
            <w:rPr>
              <w:rFonts w:hint="default" w:ascii="Times New Roman" w:hAnsi="Times New Roman" w:cs="Times New Roman"/>
              <w:bCs w:val="0"/>
              <w:color w:val="auto"/>
              <w:szCs w:val="44"/>
            </w:rPr>
            <w:t>引 言</w:t>
          </w:r>
          <w:r>
            <w:rPr>
              <w:rFonts w:hint="default" w:ascii="Times New Roman" w:hAnsi="Times New Roman" w:cs="Times New Roman"/>
              <w:color w:val="auto"/>
            </w:rPr>
            <w:tab/>
          </w:r>
          <w:r>
            <w:rPr>
              <w:rFonts w:hint="default" w:ascii="Times New Roman" w:hAnsi="Times New Roman" w:cs="Times New Roman"/>
              <w:color w:val="auto"/>
            </w:rPr>
            <w:fldChar w:fldCharType="begin"/>
          </w:r>
          <w:r>
            <w:rPr>
              <w:rFonts w:hint="default" w:ascii="Times New Roman" w:hAnsi="Times New Roman" w:cs="Times New Roman"/>
              <w:color w:val="auto"/>
            </w:rPr>
            <w:instrText xml:space="preserve"> PAGEREF _Toc32700 \h </w:instrText>
          </w:r>
          <w:r>
            <w:rPr>
              <w:rFonts w:hint="default" w:ascii="Times New Roman" w:hAnsi="Times New Roman" w:cs="Times New Roman"/>
              <w:color w:val="auto"/>
            </w:rPr>
            <w:fldChar w:fldCharType="separate"/>
          </w:r>
          <w:r>
            <w:rPr>
              <w:rFonts w:hint="default" w:ascii="Times New Roman" w:hAnsi="Times New Roman" w:cs="Times New Roman"/>
              <w:color w:val="auto"/>
            </w:rPr>
            <w:t>II</w:t>
          </w:r>
          <w:r>
            <w:rPr>
              <w:rFonts w:hint="default" w:ascii="Times New Roman" w:hAnsi="Times New Roman" w:cs="Times New Roman"/>
              <w:color w:val="auto"/>
            </w:rPr>
            <w:fldChar w:fldCharType="end"/>
          </w:r>
          <w:r>
            <w:rPr>
              <w:rFonts w:hint="default" w:ascii="Times New Roman" w:hAnsi="Times New Roman" w:cs="Times New Roman"/>
              <w:color w:val="auto"/>
              <w:szCs w:val="24"/>
            </w:rPr>
            <w:fldChar w:fldCharType="end"/>
          </w:r>
        </w:p>
        <w:p w14:paraId="58527BDC">
          <w:pPr>
            <w:pStyle w:val="14"/>
            <w:tabs>
              <w:tab w:val="right" w:leader="dot" w:pos="8306"/>
              <w:tab w:val="clear" w:pos="8296"/>
            </w:tabs>
            <w:rPr>
              <w:rFonts w:hint="default" w:ascii="Times New Roman" w:hAnsi="Times New Roman" w:cs="Times New Roman"/>
              <w:color w:val="auto"/>
            </w:rPr>
          </w:pPr>
          <w:r>
            <w:rPr>
              <w:rFonts w:hint="default" w:ascii="Times New Roman" w:hAnsi="Times New Roman" w:cs="Times New Roman"/>
              <w:color w:val="auto"/>
              <w:szCs w:val="24"/>
              <w:lang w:val="zh-CN"/>
            </w:rPr>
            <w:fldChar w:fldCharType="begin"/>
          </w:r>
          <w:r>
            <w:rPr>
              <w:rFonts w:hint="default" w:ascii="Times New Roman" w:hAnsi="Times New Roman" w:cs="Times New Roman"/>
              <w:color w:val="auto"/>
              <w:szCs w:val="24"/>
              <w:lang w:val="zh-CN"/>
            </w:rPr>
            <w:instrText xml:space="preserve"> HYPERLINK \l _Toc7178 </w:instrText>
          </w:r>
          <w:r>
            <w:rPr>
              <w:rFonts w:hint="default" w:ascii="Times New Roman" w:hAnsi="Times New Roman" w:cs="Times New Roman"/>
              <w:color w:val="auto"/>
              <w:szCs w:val="24"/>
              <w:lang w:val="zh-CN"/>
            </w:rPr>
            <w:fldChar w:fldCharType="separate"/>
          </w:r>
          <w:r>
            <w:rPr>
              <w:rFonts w:hint="default" w:ascii="Times New Roman" w:hAnsi="Times New Roman" w:cs="Times New Roman"/>
              <w:color w:val="auto"/>
            </w:rPr>
            <w:t>1 范围</w:t>
          </w:r>
          <w:r>
            <w:rPr>
              <w:rFonts w:hint="default" w:ascii="Times New Roman" w:hAnsi="Times New Roman" w:cs="Times New Roman"/>
              <w:color w:val="auto"/>
            </w:rPr>
            <w:tab/>
          </w:r>
          <w:r>
            <w:rPr>
              <w:rFonts w:hint="default" w:ascii="Times New Roman" w:hAnsi="Times New Roman" w:cs="Times New Roman"/>
              <w:color w:val="auto"/>
            </w:rPr>
            <w:fldChar w:fldCharType="begin"/>
          </w:r>
          <w:r>
            <w:rPr>
              <w:rFonts w:hint="default" w:ascii="Times New Roman" w:hAnsi="Times New Roman" w:cs="Times New Roman"/>
              <w:color w:val="auto"/>
            </w:rPr>
            <w:instrText xml:space="preserve"> PAGEREF _Toc7178 \h </w:instrText>
          </w:r>
          <w:r>
            <w:rPr>
              <w:rFonts w:hint="default" w:ascii="Times New Roman" w:hAnsi="Times New Roman" w:cs="Times New Roman"/>
              <w:color w:val="auto"/>
            </w:rPr>
            <w:fldChar w:fldCharType="separate"/>
          </w:r>
          <w:r>
            <w:rPr>
              <w:rFonts w:hint="default" w:ascii="Times New Roman" w:hAnsi="Times New Roman" w:cs="Times New Roman"/>
              <w:color w:val="auto"/>
            </w:rPr>
            <w:t>1</w:t>
          </w:r>
          <w:r>
            <w:rPr>
              <w:rFonts w:hint="default" w:ascii="Times New Roman" w:hAnsi="Times New Roman" w:cs="Times New Roman"/>
              <w:color w:val="auto"/>
            </w:rPr>
            <w:fldChar w:fldCharType="end"/>
          </w:r>
          <w:r>
            <w:rPr>
              <w:rFonts w:hint="default" w:ascii="Times New Roman" w:hAnsi="Times New Roman" w:cs="Times New Roman"/>
              <w:color w:val="auto"/>
              <w:szCs w:val="24"/>
              <w:lang w:val="zh-CN"/>
            </w:rPr>
            <w:fldChar w:fldCharType="end"/>
          </w:r>
        </w:p>
        <w:p w14:paraId="2E30B2D2">
          <w:pPr>
            <w:pStyle w:val="14"/>
            <w:tabs>
              <w:tab w:val="right" w:leader="dot" w:pos="8306"/>
              <w:tab w:val="clear" w:pos="8296"/>
            </w:tabs>
            <w:rPr>
              <w:rFonts w:hint="default" w:ascii="Times New Roman" w:hAnsi="Times New Roman" w:cs="Times New Roman"/>
              <w:color w:val="auto"/>
            </w:rPr>
          </w:pPr>
          <w:r>
            <w:rPr>
              <w:rFonts w:hint="default" w:ascii="Times New Roman" w:hAnsi="Times New Roman" w:cs="Times New Roman"/>
              <w:color w:val="auto"/>
              <w:szCs w:val="24"/>
              <w:lang w:val="zh-CN"/>
            </w:rPr>
            <w:fldChar w:fldCharType="begin"/>
          </w:r>
          <w:r>
            <w:rPr>
              <w:rFonts w:hint="default" w:ascii="Times New Roman" w:hAnsi="Times New Roman" w:cs="Times New Roman"/>
              <w:color w:val="auto"/>
              <w:szCs w:val="24"/>
              <w:lang w:val="zh-CN"/>
            </w:rPr>
            <w:instrText xml:space="preserve"> HYPERLINK \l _Toc6157 </w:instrText>
          </w:r>
          <w:r>
            <w:rPr>
              <w:rFonts w:hint="default" w:ascii="Times New Roman" w:hAnsi="Times New Roman" w:cs="Times New Roman"/>
              <w:color w:val="auto"/>
              <w:szCs w:val="24"/>
              <w:lang w:val="zh-CN"/>
            </w:rPr>
            <w:fldChar w:fldCharType="separate"/>
          </w:r>
          <w:r>
            <w:rPr>
              <w:rFonts w:hint="default" w:ascii="Times New Roman" w:hAnsi="Times New Roman" w:cs="Times New Roman"/>
              <w:color w:val="auto"/>
            </w:rPr>
            <w:t>2 引用文件</w:t>
          </w:r>
          <w:r>
            <w:rPr>
              <w:rFonts w:hint="default" w:ascii="Times New Roman" w:hAnsi="Times New Roman" w:cs="Times New Roman"/>
              <w:color w:val="auto"/>
            </w:rPr>
            <w:tab/>
          </w:r>
          <w:r>
            <w:rPr>
              <w:rFonts w:hint="default" w:ascii="Times New Roman" w:hAnsi="Times New Roman" w:cs="Times New Roman"/>
              <w:color w:val="auto"/>
            </w:rPr>
            <w:fldChar w:fldCharType="begin"/>
          </w:r>
          <w:r>
            <w:rPr>
              <w:rFonts w:hint="default" w:ascii="Times New Roman" w:hAnsi="Times New Roman" w:cs="Times New Roman"/>
              <w:color w:val="auto"/>
            </w:rPr>
            <w:instrText xml:space="preserve"> PAGEREF _Toc6157 \h </w:instrText>
          </w:r>
          <w:r>
            <w:rPr>
              <w:rFonts w:hint="default" w:ascii="Times New Roman" w:hAnsi="Times New Roman" w:cs="Times New Roman"/>
              <w:color w:val="auto"/>
            </w:rPr>
            <w:fldChar w:fldCharType="separate"/>
          </w:r>
          <w:r>
            <w:rPr>
              <w:rFonts w:hint="default" w:ascii="Times New Roman" w:hAnsi="Times New Roman" w:cs="Times New Roman"/>
              <w:color w:val="auto"/>
            </w:rPr>
            <w:t>1</w:t>
          </w:r>
          <w:r>
            <w:rPr>
              <w:rFonts w:hint="default" w:ascii="Times New Roman" w:hAnsi="Times New Roman" w:cs="Times New Roman"/>
              <w:color w:val="auto"/>
            </w:rPr>
            <w:fldChar w:fldCharType="end"/>
          </w:r>
          <w:r>
            <w:rPr>
              <w:rFonts w:hint="default" w:ascii="Times New Roman" w:hAnsi="Times New Roman" w:cs="Times New Roman"/>
              <w:color w:val="auto"/>
              <w:szCs w:val="24"/>
              <w:lang w:val="zh-CN"/>
            </w:rPr>
            <w:fldChar w:fldCharType="end"/>
          </w:r>
        </w:p>
        <w:p w14:paraId="31A3907D">
          <w:pPr>
            <w:pStyle w:val="14"/>
            <w:tabs>
              <w:tab w:val="right" w:leader="dot" w:pos="8306"/>
              <w:tab w:val="clear" w:pos="8296"/>
            </w:tabs>
            <w:rPr>
              <w:rFonts w:hint="default" w:ascii="Times New Roman" w:hAnsi="Times New Roman" w:cs="Times New Roman"/>
              <w:color w:val="auto"/>
            </w:rPr>
          </w:pPr>
          <w:r>
            <w:rPr>
              <w:rFonts w:hint="default" w:ascii="Times New Roman" w:hAnsi="Times New Roman" w:cs="Times New Roman"/>
              <w:color w:val="auto"/>
              <w:szCs w:val="24"/>
              <w:lang w:val="zh-CN"/>
            </w:rPr>
            <w:fldChar w:fldCharType="begin"/>
          </w:r>
          <w:r>
            <w:rPr>
              <w:rFonts w:hint="default" w:ascii="Times New Roman" w:hAnsi="Times New Roman" w:cs="Times New Roman"/>
              <w:color w:val="auto"/>
              <w:szCs w:val="24"/>
              <w:lang w:val="zh-CN"/>
            </w:rPr>
            <w:instrText xml:space="preserve"> HYPERLINK \l _Toc8176 </w:instrText>
          </w:r>
          <w:r>
            <w:rPr>
              <w:rFonts w:hint="default" w:ascii="Times New Roman" w:hAnsi="Times New Roman" w:cs="Times New Roman"/>
              <w:color w:val="auto"/>
              <w:szCs w:val="24"/>
              <w:lang w:val="zh-CN"/>
            </w:rPr>
            <w:fldChar w:fldCharType="separate"/>
          </w:r>
          <w:r>
            <w:rPr>
              <w:rFonts w:hint="default" w:ascii="Times New Roman" w:hAnsi="Times New Roman" w:cs="Times New Roman"/>
              <w:color w:val="auto"/>
            </w:rPr>
            <w:t>3 术语和定义</w:t>
          </w:r>
          <w:r>
            <w:rPr>
              <w:rFonts w:hint="default" w:ascii="Times New Roman" w:hAnsi="Times New Roman" w:cs="Times New Roman"/>
              <w:color w:val="auto"/>
            </w:rPr>
            <w:tab/>
          </w:r>
          <w:r>
            <w:rPr>
              <w:rFonts w:hint="default" w:ascii="Times New Roman" w:hAnsi="Times New Roman" w:cs="Times New Roman"/>
              <w:color w:val="auto"/>
            </w:rPr>
            <w:fldChar w:fldCharType="begin"/>
          </w:r>
          <w:r>
            <w:rPr>
              <w:rFonts w:hint="default" w:ascii="Times New Roman" w:hAnsi="Times New Roman" w:cs="Times New Roman"/>
              <w:color w:val="auto"/>
            </w:rPr>
            <w:instrText xml:space="preserve"> PAGEREF _Toc8176 \h </w:instrText>
          </w:r>
          <w:r>
            <w:rPr>
              <w:rFonts w:hint="default" w:ascii="Times New Roman" w:hAnsi="Times New Roman" w:cs="Times New Roman"/>
              <w:color w:val="auto"/>
            </w:rPr>
            <w:fldChar w:fldCharType="separate"/>
          </w:r>
          <w:r>
            <w:rPr>
              <w:rFonts w:hint="default" w:ascii="Times New Roman" w:hAnsi="Times New Roman" w:cs="Times New Roman"/>
              <w:color w:val="auto"/>
            </w:rPr>
            <w:t>2</w:t>
          </w:r>
          <w:r>
            <w:rPr>
              <w:rFonts w:hint="default" w:ascii="Times New Roman" w:hAnsi="Times New Roman" w:cs="Times New Roman"/>
              <w:color w:val="auto"/>
            </w:rPr>
            <w:fldChar w:fldCharType="end"/>
          </w:r>
          <w:r>
            <w:rPr>
              <w:rFonts w:hint="default" w:ascii="Times New Roman" w:hAnsi="Times New Roman" w:cs="Times New Roman"/>
              <w:color w:val="auto"/>
              <w:szCs w:val="24"/>
              <w:lang w:val="zh-CN"/>
            </w:rPr>
            <w:fldChar w:fldCharType="end"/>
          </w:r>
        </w:p>
        <w:p w14:paraId="6DD179B1">
          <w:pPr>
            <w:pStyle w:val="14"/>
            <w:tabs>
              <w:tab w:val="right" w:leader="dot" w:pos="8306"/>
              <w:tab w:val="clear" w:pos="8296"/>
            </w:tabs>
            <w:rPr>
              <w:rFonts w:hint="default" w:ascii="Times New Roman" w:hAnsi="Times New Roman" w:cs="Times New Roman"/>
              <w:color w:val="auto"/>
            </w:rPr>
          </w:pPr>
          <w:r>
            <w:rPr>
              <w:rFonts w:hint="default" w:ascii="Times New Roman" w:hAnsi="Times New Roman" w:cs="Times New Roman"/>
              <w:color w:val="auto"/>
              <w:szCs w:val="24"/>
              <w:lang w:val="zh-CN"/>
            </w:rPr>
            <w:fldChar w:fldCharType="begin"/>
          </w:r>
          <w:r>
            <w:rPr>
              <w:rFonts w:hint="default" w:ascii="Times New Roman" w:hAnsi="Times New Roman" w:cs="Times New Roman"/>
              <w:color w:val="auto"/>
              <w:szCs w:val="24"/>
              <w:lang w:val="zh-CN"/>
            </w:rPr>
            <w:instrText xml:space="preserve"> HYPERLINK \l _Toc2163 </w:instrText>
          </w:r>
          <w:r>
            <w:rPr>
              <w:rFonts w:hint="default" w:ascii="Times New Roman" w:hAnsi="Times New Roman" w:cs="Times New Roman"/>
              <w:color w:val="auto"/>
              <w:szCs w:val="24"/>
              <w:lang w:val="zh-CN"/>
            </w:rPr>
            <w:fldChar w:fldCharType="separate"/>
          </w:r>
          <w:r>
            <w:rPr>
              <w:rFonts w:hint="default" w:ascii="Times New Roman" w:hAnsi="Times New Roman" w:cs="Times New Roman"/>
              <w:color w:val="auto"/>
            </w:rPr>
            <w:t>4 概述</w:t>
          </w:r>
          <w:r>
            <w:rPr>
              <w:rFonts w:hint="default" w:ascii="Times New Roman" w:hAnsi="Times New Roman" w:cs="Times New Roman"/>
              <w:color w:val="auto"/>
            </w:rPr>
            <w:tab/>
          </w:r>
          <w:r>
            <w:rPr>
              <w:rFonts w:hint="default" w:ascii="Times New Roman" w:hAnsi="Times New Roman" w:cs="Times New Roman"/>
              <w:color w:val="auto"/>
            </w:rPr>
            <w:fldChar w:fldCharType="begin"/>
          </w:r>
          <w:r>
            <w:rPr>
              <w:rFonts w:hint="default" w:ascii="Times New Roman" w:hAnsi="Times New Roman" w:cs="Times New Roman"/>
              <w:color w:val="auto"/>
            </w:rPr>
            <w:instrText xml:space="preserve"> PAGEREF _Toc2163 \h </w:instrText>
          </w:r>
          <w:r>
            <w:rPr>
              <w:rFonts w:hint="default" w:ascii="Times New Roman" w:hAnsi="Times New Roman" w:cs="Times New Roman"/>
              <w:color w:val="auto"/>
            </w:rPr>
            <w:fldChar w:fldCharType="separate"/>
          </w:r>
          <w:r>
            <w:rPr>
              <w:rFonts w:hint="default" w:ascii="Times New Roman" w:hAnsi="Times New Roman" w:cs="Times New Roman"/>
              <w:color w:val="auto"/>
            </w:rPr>
            <w:t>2</w:t>
          </w:r>
          <w:r>
            <w:rPr>
              <w:rFonts w:hint="default" w:ascii="Times New Roman" w:hAnsi="Times New Roman" w:cs="Times New Roman"/>
              <w:color w:val="auto"/>
            </w:rPr>
            <w:fldChar w:fldCharType="end"/>
          </w:r>
          <w:r>
            <w:rPr>
              <w:rFonts w:hint="default" w:ascii="Times New Roman" w:hAnsi="Times New Roman" w:cs="Times New Roman"/>
              <w:color w:val="auto"/>
              <w:szCs w:val="24"/>
              <w:lang w:val="zh-CN"/>
            </w:rPr>
            <w:fldChar w:fldCharType="end"/>
          </w:r>
        </w:p>
        <w:p w14:paraId="26DFAB7F">
          <w:pPr>
            <w:pStyle w:val="8"/>
            <w:tabs>
              <w:tab w:val="right" w:leader="dot" w:pos="8306"/>
              <w:tab w:val="clear" w:pos="8296"/>
            </w:tabs>
            <w:rPr>
              <w:rFonts w:hint="default" w:ascii="Times New Roman" w:hAnsi="Times New Roman" w:cs="Times New Roman"/>
              <w:color w:val="auto"/>
            </w:rPr>
          </w:pPr>
          <w:r>
            <w:rPr>
              <w:rFonts w:hint="default" w:ascii="Times New Roman" w:hAnsi="Times New Roman" w:cs="Times New Roman"/>
              <w:color w:val="auto"/>
              <w:szCs w:val="24"/>
              <w:lang w:val="zh-CN"/>
            </w:rPr>
            <w:fldChar w:fldCharType="begin"/>
          </w:r>
          <w:r>
            <w:rPr>
              <w:rFonts w:hint="default" w:ascii="Times New Roman" w:hAnsi="Times New Roman" w:cs="Times New Roman"/>
              <w:color w:val="auto"/>
              <w:szCs w:val="24"/>
              <w:lang w:val="zh-CN"/>
            </w:rPr>
            <w:instrText xml:space="preserve"> HYPERLINK \l _Toc12951 </w:instrText>
          </w:r>
          <w:r>
            <w:rPr>
              <w:rFonts w:hint="default" w:ascii="Times New Roman" w:hAnsi="Times New Roman" w:cs="Times New Roman"/>
              <w:color w:val="auto"/>
              <w:szCs w:val="24"/>
              <w:lang w:val="zh-CN"/>
            </w:rPr>
            <w:fldChar w:fldCharType="separate"/>
          </w:r>
          <w:r>
            <w:rPr>
              <w:rFonts w:hint="default" w:ascii="Times New Roman" w:hAnsi="Times New Roman" w:cs="Times New Roman"/>
              <w:color w:val="auto"/>
            </w:rPr>
            <w:t>4.1 计量对象</w:t>
          </w:r>
          <w:r>
            <w:rPr>
              <w:rFonts w:hint="default" w:ascii="Times New Roman" w:hAnsi="Times New Roman" w:cs="Times New Roman"/>
              <w:color w:val="auto"/>
            </w:rPr>
            <w:tab/>
          </w:r>
          <w:r>
            <w:rPr>
              <w:rFonts w:hint="default" w:ascii="Times New Roman" w:hAnsi="Times New Roman" w:cs="Times New Roman"/>
              <w:color w:val="auto"/>
            </w:rPr>
            <w:fldChar w:fldCharType="begin"/>
          </w:r>
          <w:r>
            <w:rPr>
              <w:rFonts w:hint="default" w:ascii="Times New Roman" w:hAnsi="Times New Roman" w:cs="Times New Roman"/>
              <w:color w:val="auto"/>
            </w:rPr>
            <w:instrText xml:space="preserve"> PAGEREF _Toc12951 \h </w:instrText>
          </w:r>
          <w:r>
            <w:rPr>
              <w:rFonts w:hint="default" w:ascii="Times New Roman" w:hAnsi="Times New Roman" w:cs="Times New Roman"/>
              <w:color w:val="auto"/>
            </w:rPr>
            <w:fldChar w:fldCharType="separate"/>
          </w:r>
          <w:r>
            <w:rPr>
              <w:rFonts w:hint="default" w:ascii="Times New Roman" w:hAnsi="Times New Roman" w:cs="Times New Roman"/>
              <w:color w:val="auto"/>
            </w:rPr>
            <w:t>3</w:t>
          </w:r>
          <w:r>
            <w:rPr>
              <w:rFonts w:hint="default" w:ascii="Times New Roman" w:hAnsi="Times New Roman" w:cs="Times New Roman"/>
              <w:color w:val="auto"/>
            </w:rPr>
            <w:fldChar w:fldCharType="end"/>
          </w:r>
          <w:r>
            <w:rPr>
              <w:rFonts w:hint="default" w:ascii="Times New Roman" w:hAnsi="Times New Roman" w:cs="Times New Roman"/>
              <w:color w:val="auto"/>
              <w:szCs w:val="24"/>
              <w:lang w:val="zh-CN"/>
            </w:rPr>
            <w:fldChar w:fldCharType="end"/>
          </w:r>
        </w:p>
        <w:p w14:paraId="04918845">
          <w:pPr>
            <w:pStyle w:val="8"/>
            <w:tabs>
              <w:tab w:val="right" w:leader="dot" w:pos="8306"/>
              <w:tab w:val="clear" w:pos="8296"/>
            </w:tabs>
            <w:rPr>
              <w:rFonts w:hint="default" w:ascii="Times New Roman" w:hAnsi="Times New Roman" w:cs="Times New Roman"/>
              <w:color w:val="auto"/>
            </w:rPr>
          </w:pPr>
          <w:r>
            <w:rPr>
              <w:rFonts w:hint="default" w:ascii="Times New Roman" w:hAnsi="Times New Roman" w:cs="Times New Roman"/>
              <w:color w:val="auto"/>
              <w:szCs w:val="24"/>
              <w:lang w:val="zh-CN"/>
            </w:rPr>
            <w:fldChar w:fldCharType="begin"/>
          </w:r>
          <w:r>
            <w:rPr>
              <w:rFonts w:hint="default" w:ascii="Times New Roman" w:hAnsi="Times New Roman" w:cs="Times New Roman"/>
              <w:color w:val="auto"/>
              <w:szCs w:val="24"/>
              <w:lang w:val="zh-CN"/>
            </w:rPr>
            <w:instrText xml:space="preserve"> HYPERLINK \l _Toc7314 </w:instrText>
          </w:r>
          <w:r>
            <w:rPr>
              <w:rFonts w:hint="default" w:ascii="Times New Roman" w:hAnsi="Times New Roman" w:cs="Times New Roman"/>
              <w:color w:val="auto"/>
              <w:szCs w:val="24"/>
              <w:lang w:val="zh-CN"/>
            </w:rPr>
            <w:fldChar w:fldCharType="separate"/>
          </w:r>
          <w:r>
            <w:rPr>
              <w:rFonts w:hint="default" w:ascii="Times New Roman" w:hAnsi="Times New Roman" w:cs="Times New Roman"/>
              <w:color w:val="auto"/>
            </w:rPr>
            <w:t>4.2 计量边界</w:t>
          </w:r>
          <w:r>
            <w:rPr>
              <w:rFonts w:hint="default" w:ascii="Times New Roman" w:hAnsi="Times New Roman" w:cs="Times New Roman"/>
              <w:color w:val="auto"/>
            </w:rPr>
            <w:tab/>
          </w:r>
          <w:r>
            <w:rPr>
              <w:rFonts w:hint="default" w:ascii="Times New Roman" w:hAnsi="Times New Roman" w:cs="Times New Roman"/>
              <w:color w:val="auto"/>
            </w:rPr>
            <w:fldChar w:fldCharType="begin"/>
          </w:r>
          <w:r>
            <w:rPr>
              <w:rFonts w:hint="default" w:ascii="Times New Roman" w:hAnsi="Times New Roman" w:cs="Times New Roman"/>
              <w:color w:val="auto"/>
            </w:rPr>
            <w:instrText xml:space="preserve"> PAGEREF _Toc7314 \h </w:instrText>
          </w:r>
          <w:r>
            <w:rPr>
              <w:rFonts w:hint="default" w:ascii="Times New Roman" w:hAnsi="Times New Roman" w:cs="Times New Roman"/>
              <w:color w:val="auto"/>
            </w:rPr>
            <w:fldChar w:fldCharType="separate"/>
          </w:r>
          <w:r>
            <w:rPr>
              <w:rFonts w:hint="default" w:ascii="Times New Roman" w:hAnsi="Times New Roman" w:cs="Times New Roman"/>
              <w:color w:val="auto"/>
            </w:rPr>
            <w:t>3</w:t>
          </w:r>
          <w:r>
            <w:rPr>
              <w:rFonts w:hint="default" w:ascii="Times New Roman" w:hAnsi="Times New Roman" w:cs="Times New Roman"/>
              <w:color w:val="auto"/>
            </w:rPr>
            <w:fldChar w:fldCharType="end"/>
          </w:r>
          <w:r>
            <w:rPr>
              <w:rFonts w:hint="default" w:ascii="Times New Roman" w:hAnsi="Times New Roman" w:cs="Times New Roman"/>
              <w:color w:val="auto"/>
              <w:szCs w:val="24"/>
              <w:lang w:val="zh-CN"/>
            </w:rPr>
            <w:fldChar w:fldCharType="end"/>
          </w:r>
        </w:p>
        <w:p w14:paraId="1BBFD1DB">
          <w:pPr>
            <w:pStyle w:val="8"/>
            <w:tabs>
              <w:tab w:val="right" w:leader="dot" w:pos="8306"/>
              <w:tab w:val="clear" w:pos="8296"/>
            </w:tabs>
            <w:rPr>
              <w:rFonts w:hint="default" w:ascii="Times New Roman" w:hAnsi="Times New Roman" w:cs="Times New Roman"/>
              <w:color w:val="auto"/>
            </w:rPr>
          </w:pPr>
          <w:r>
            <w:rPr>
              <w:rFonts w:hint="default" w:ascii="Times New Roman" w:hAnsi="Times New Roman" w:cs="Times New Roman"/>
              <w:color w:val="auto"/>
              <w:szCs w:val="24"/>
              <w:lang w:val="zh-CN"/>
            </w:rPr>
            <w:fldChar w:fldCharType="begin"/>
          </w:r>
          <w:r>
            <w:rPr>
              <w:rFonts w:hint="default" w:ascii="Times New Roman" w:hAnsi="Times New Roman" w:cs="Times New Roman"/>
              <w:color w:val="auto"/>
              <w:szCs w:val="24"/>
              <w:lang w:val="zh-CN"/>
            </w:rPr>
            <w:instrText xml:space="preserve"> HYPERLINK \l _Toc11040 </w:instrText>
          </w:r>
          <w:r>
            <w:rPr>
              <w:rFonts w:hint="default" w:ascii="Times New Roman" w:hAnsi="Times New Roman" w:cs="Times New Roman"/>
              <w:color w:val="auto"/>
              <w:szCs w:val="24"/>
              <w:lang w:val="zh-CN"/>
            </w:rPr>
            <w:fldChar w:fldCharType="separate"/>
          </w:r>
          <w:r>
            <w:rPr>
              <w:rFonts w:hint="default" w:ascii="Times New Roman" w:hAnsi="Times New Roman" w:cs="Times New Roman"/>
              <w:color w:val="auto"/>
            </w:rPr>
            <w:t>4.3 计量范围</w:t>
          </w:r>
          <w:r>
            <w:rPr>
              <w:rFonts w:hint="default" w:ascii="Times New Roman" w:hAnsi="Times New Roman" w:cs="Times New Roman"/>
              <w:color w:val="auto"/>
            </w:rPr>
            <w:tab/>
          </w:r>
          <w:r>
            <w:rPr>
              <w:rFonts w:hint="default" w:ascii="Times New Roman" w:hAnsi="Times New Roman" w:cs="Times New Roman"/>
              <w:color w:val="auto"/>
            </w:rPr>
            <w:fldChar w:fldCharType="begin"/>
          </w:r>
          <w:r>
            <w:rPr>
              <w:rFonts w:hint="default" w:ascii="Times New Roman" w:hAnsi="Times New Roman" w:cs="Times New Roman"/>
              <w:color w:val="auto"/>
            </w:rPr>
            <w:instrText xml:space="preserve"> PAGEREF _Toc11040 \h </w:instrText>
          </w:r>
          <w:r>
            <w:rPr>
              <w:rFonts w:hint="default" w:ascii="Times New Roman" w:hAnsi="Times New Roman" w:cs="Times New Roman"/>
              <w:color w:val="auto"/>
            </w:rPr>
            <w:fldChar w:fldCharType="separate"/>
          </w:r>
          <w:r>
            <w:rPr>
              <w:rFonts w:hint="default" w:ascii="Times New Roman" w:hAnsi="Times New Roman" w:cs="Times New Roman"/>
              <w:color w:val="auto"/>
            </w:rPr>
            <w:t>4</w:t>
          </w:r>
          <w:r>
            <w:rPr>
              <w:rFonts w:hint="default" w:ascii="Times New Roman" w:hAnsi="Times New Roman" w:cs="Times New Roman"/>
              <w:color w:val="auto"/>
            </w:rPr>
            <w:fldChar w:fldCharType="end"/>
          </w:r>
          <w:r>
            <w:rPr>
              <w:rFonts w:hint="default" w:ascii="Times New Roman" w:hAnsi="Times New Roman" w:cs="Times New Roman"/>
              <w:color w:val="auto"/>
              <w:szCs w:val="24"/>
              <w:lang w:val="zh-CN"/>
            </w:rPr>
            <w:fldChar w:fldCharType="end"/>
          </w:r>
        </w:p>
        <w:p w14:paraId="2970518F">
          <w:pPr>
            <w:pStyle w:val="14"/>
            <w:tabs>
              <w:tab w:val="right" w:leader="dot" w:pos="8306"/>
              <w:tab w:val="clear" w:pos="8296"/>
            </w:tabs>
            <w:rPr>
              <w:rFonts w:hint="default" w:ascii="Times New Roman" w:hAnsi="Times New Roman" w:cs="Times New Roman"/>
              <w:color w:val="auto"/>
            </w:rPr>
          </w:pPr>
          <w:r>
            <w:rPr>
              <w:rFonts w:hint="default" w:ascii="Times New Roman" w:hAnsi="Times New Roman" w:cs="Times New Roman"/>
              <w:color w:val="auto"/>
              <w:szCs w:val="24"/>
              <w:lang w:val="zh-CN"/>
            </w:rPr>
            <w:fldChar w:fldCharType="begin"/>
          </w:r>
          <w:r>
            <w:rPr>
              <w:rFonts w:hint="default" w:ascii="Times New Roman" w:hAnsi="Times New Roman" w:cs="Times New Roman"/>
              <w:color w:val="auto"/>
              <w:szCs w:val="24"/>
              <w:lang w:val="zh-CN"/>
            </w:rPr>
            <w:instrText xml:space="preserve"> HYPERLINK \l _Toc18026 </w:instrText>
          </w:r>
          <w:r>
            <w:rPr>
              <w:rFonts w:hint="default" w:ascii="Times New Roman" w:hAnsi="Times New Roman" w:cs="Times New Roman"/>
              <w:color w:val="auto"/>
              <w:szCs w:val="24"/>
              <w:lang w:val="zh-CN"/>
            </w:rPr>
            <w:fldChar w:fldCharType="separate"/>
          </w:r>
          <w:r>
            <w:rPr>
              <w:rFonts w:hint="default" w:ascii="Times New Roman" w:hAnsi="Times New Roman" w:cs="Times New Roman"/>
              <w:color w:val="auto"/>
            </w:rPr>
            <w:t>5 计量要求</w:t>
          </w:r>
          <w:r>
            <w:rPr>
              <w:rFonts w:hint="default" w:ascii="Times New Roman" w:hAnsi="Times New Roman" w:cs="Times New Roman"/>
              <w:color w:val="auto"/>
            </w:rPr>
            <w:tab/>
          </w:r>
          <w:r>
            <w:rPr>
              <w:rFonts w:hint="default" w:ascii="Times New Roman" w:hAnsi="Times New Roman" w:cs="Times New Roman"/>
              <w:color w:val="auto"/>
            </w:rPr>
            <w:fldChar w:fldCharType="begin"/>
          </w:r>
          <w:r>
            <w:rPr>
              <w:rFonts w:hint="default" w:ascii="Times New Roman" w:hAnsi="Times New Roman" w:cs="Times New Roman"/>
              <w:color w:val="auto"/>
            </w:rPr>
            <w:instrText xml:space="preserve"> PAGEREF _Toc18026 \h </w:instrText>
          </w:r>
          <w:r>
            <w:rPr>
              <w:rFonts w:hint="default" w:ascii="Times New Roman" w:hAnsi="Times New Roman" w:cs="Times New Roman"/>
              <w:color w:val="auto"/>
            </w:rPr>
            <w:fldChar w:fldCharType="separate"/>
          </w:r>
          <w:r>
            <w:rPr>
              <w:rFonts w:hint="default" w:ascii="Times New Roman" w:hAnsi="Times New Roman" w:cs="Times New Roman"/>
              <w:color w:val="auto"/>
            </w:rPr>
            <w:t>4</w:t>
          </w:r>
          <w:r>
            <w:rPr>
              <w:rFonts w:hint="default" w:ascii="Times New Roman" w:hAnsi="Times New Roman" w:cs="Times New Roman"/>
              <w:color w:val="auto"/>
            </w:rPr>
            <w:fldChar w:fldCharType="end"/>
          </w:r>
          <w:r>
            <w:rPr>
              <w:rFonts w:hint="default" w:ascii="Times New Roman" w:hAnsi="Times New Roman" w:cs="Times New Roman"/>
              <w:color w:val="auto"/>
              <w:szCs w:val="24"/>
              <w:lang w:val="zh-CN"/>
            </w:rPr>
            <w:fldChar w:fldCharType="end"/>
          </w:r>
        </w:p>
        <w:p w14:paraId="53B66863">
          <w:pPr>
            <w:pStyle w:val="8"/>
            <w:tabs>
              <w:tab w:val="right" w:leader="dot" w:pos="8306"/>
              <w:tab w:val="clear" w:pos="8296"/>
            </w:tabs>
            <w:rPr>
              <w:rFonts w:hint="default" w:ascii="Times New Roman" w:hAnsi="Times New Roman" w:cs="Times New Roman"/>
              <w:color w:val="auto"/>
            </w:rPr>
          </w:pPr>
          <w:r>
            <w:rPr>
              <w:rFonts w:hint="default" w:ascii="Times New Roman" w:hAnsi="Times New Roman" w:cs="Times New Roman"/>
              <w:color w:val="auto"/>
              <w:szCs w:val="24"/>
              <w:lang w:val="zh-CN"/>
            </w:rPr>
            <w:fldChar w:fldCharType="begin"/>
          </w:r>
          <w:r>
            <w:rPr>
              <w:rFonts w:hint="default" w:ascii="Times New Roman" w:hAnsi="Times New Roman" w:cs="Times New Roman"/>
              <w:color w:val="auto"/>
              <w:szCs w:val="24"/>
              <w:lang w:val="zh-CN"/>
            </w:rPr>
            <w:instrText xml:space="preserve"> HYPERLINK \l _Toc18663 </w:instrText>
          </w:r>
          <w:r>
            <w:rPr>
              <w:rFonts w:hint="default" w:ascii="Times New Roman" w:hAnsi="Times New Roman" w:cs="Times New Roman"/>
              <w:color w:val="auto"/>
              <w:szCs w:val="24"/>
              <w:lang w:val="zh-CN"/>
            </w:rPr>
            <w:fldChar w:fldCharType="separate"/>
          </w:r>
          <w:r>
            <w:rPr>
              <w:rFonts w:hint="default" w:ascii="Times New Roman" w:hAnsi="Times New Roman" w:cs="Times New Roman"/>
              <w:color w:val="auto"/>
              <w:szCs w:val="24"/>
              <w:lang w:val="en-US" w:eastAsia="zh-CN"/>
            </w:rPr>
            <w:t>5.1</w:t>
          </w:r>
          <w:r>
            <w:rPr>
              <w:rFonts w:hint="default" w:ascii="Times New Roman" w:hAnsi="Times New Roman" w:cs="Times New Roman"/>
              <w:color w:val="auto"/>
            </w:rPr>
            <w:t xml:space="preserve"> 构件源流识别</w:t>
          </w:r>
          <w:r>
            <w:rPr>
              <w:rFonts w:hint="default" w:ascii="Times New Roman" w:hAnsi="Times New Roman" w:cs="Times New Roman"/>
              <w:color w:val="auto"/>
            </w:rPr>
            <w:tab/>
          </w:r>
          <w:r>
            <w:rPr>
              <w:rFonts w:hint="default" w:ascii="Times New Roman" w:hAnsi="Times New Roman" w:cs="Times New Roman"/>
              <w:color w:val="auto"/>
            </w:rPr>
            <w:fldChar w:fldCharType="begin"/>
          </w:r>
          <w:r>
            <w:rPr>
              <w:rFonts w:hint="default" w:ascii="Times New Roman" w:hAnsi="Times New Roman" w:cs="Times New Roman"/>
              <w:color w:val="auto"/>
            </w:rPr>
            <w:instrText xml:space="preserve"> PAGEREF _Toc18663 \h </w:instrText>
          </w:r>
          <w:r>
            <w:rPr>
              <w:rFonts w:hint="default" w:ascii="Times New Roman" w:hAnsi="Times New Roman" w:cs="Times New Roman"/>
              <w:color w:val="auto"/>
            </w:rPr>
            <w:fldChar w:fldCharType="separate"/>
          </w:r>
          <w:r>
            <w:rPr>
              <w:rFonts w:hint="default" w:ascii="Times New Roman" w:hAnsi="Times New Roman" w:cs="Times New Roman"/>
              <w:color w:val="auto"/>
            </w:rPr>
            <w:t>4</w:t>
          </w:r>
          <w:r>
            <w:rPr>
              <w:rFonts w:hint="default" w:ascii="Times New Roman" w:hAnsi="Times New Roman" w:cs="Times New Roman"/>
              <w:color w:val="auto"/>
            </w:rPr>
            <w:fldChar w:fldCharType="end"/>
          </w:r>
          <w:r>
            <w:rPr>
              <w:rFonts w:hint="default" w:ascii="Times New Roman" w:hAnsi="Times New Roman" w:cs="Times New Roman"/>
              <w:color w:val="auto"/>
              <w:szCs w:val="24"/>
              <w:lang w:val="zh-CN"/>
            </w:rPr>
            <w:fldChar w:fldCharType="end"/>
          </w:r>
        </w:p>
        <w:p w14:paraId="63C6B189">
          <w:pPr>
            <w:pStyle w:val="8"/>
            <w:tabs>
              <w:tab w:val="right" w:leader="dot" w:pos="8306"/>
              <w:tab w:val="clear" w:pos="8296"/>
            </w:tabs>
            <w:rPr>
              <w:rFonts w:hint="default" w:ascii="Times New Roman" w:hAnsi="Times New Roman" w:cs="Times New Roman"/>
              <w:color w:val="auto"/>
            </w:rPr>
          </w:pPr>
          <w:r>
            <w:rPr>
              <w:rFonts w:hint="default" w:ascii="Times New Roman" w:hAnsi="Times New Roman" w:cs="Times New Roman"/>
              <w:color w:val="auto"/>
              <w:szCs w:val="24"/>
              <w:lang w:val="zh-CN"/>
            </w:rPr>
            <w:fldChar w:fldCharType="begin"/>
          </w:r>
          <w:r>
            <w:rPr>
              <w:rFonts w:hint="default" w:ascii="Times New Roman" w:hAnsi="Times New Roman" w:cs="Times New Roman"/>
              <w:color w:val="auto"/>
              <w:szCs w:val="24"/>
              <w:lang w:val="zh-CN"/>
            </w:rPr>
            <w:instrText xml:space="preserve"> HYPERLINK \l _Toc28621 </w:instrText>
          </w:r>
          <w:r>
            <w:rPr>
              <w:rFonts w:hint="default" w:ascii="Times New Roman" w:hAnsi="Times New Roman" w:cs="Times New Roman"/>
              <w:color w:val="auto"/>
              <w:szCs w:val="24"/>
              <w:lang w:val="zh-CN"/>
            </w:rPr>
            <w:fldChar w:fldCharType="separate"/>
          </w:r>
          <w:r>
            <w:rPr>
              <w:rFonts w:hint="default" w:ascii="Times New Roman" w:hAnsi="Times New Roman" w:cs="Times New Roman"/>
              <w:color w:val="auto"/>
            </w:rPr>
            <w:t>5.</w:t>
          </w:r>
          <w:r>
            <w:rPr>
              <w:rFonts w:hint="default" w:ascii="Times New Roman" w:hAnsi="Times New Roman" w:cs="Times New Roman"/>
              <w:color w:val="auto"/>
              <w:lang w:val="en-US" w:eastAsia="zh-CN"/>
            </w:rPr>
            <w:t>2</w:t>
          </w:r>
          <w:r>
            <w:rPr>
              <w:rFonts w:hint="default" w:ascii="Times New Roman" w:hAnsi="Times New Roman" w:cs="Times New Roman"/>
              <w:color w:val="auto"/>
            </w:rPr>
            <w:t xml:space="preserve"> </w:t>
          </w:r>
          <w:r>
            <w:rPr>
              <w:rFonts w:hint="eastAsia" w:cs="Times New Roman"/>
              <w:color w:val="auto"/>
              <w:lang w:val="en-US" w:eastAsia="zh-CN"/>
            </w:rPr>
            <w:t>计量点位的布置</w:t>
          </w:r>
          <w:r>
            <w:rPr>
              <w:rFonts w:hint="default" w:ascii="Times New Roman" w:hAnsi="Times New Roman" w:cs="Times New Roman"/>
              <w:color w:val="auto"/>
            </w:rPr>
            <w:tab/>
          </w:r>
          <w:r>
            <w:rPr>
              <w:rFonts w:hint="default" w:ascii="Times New Roman" w:hAnsi="Times New Roman" w:cs="Times New Roman"/>
              <w:color w:val="auto"/>
            </w:rPr>
            <w:fldChar w:fldCharType="begin"/>
          </w:r>
          <w:r>
            <w:rPr>
              <w:rFonts w:hint="default" w:ascii="Times New Roman" w:hAnsi="Times New Roman" w:cs="Times New Roman"/>
              <w:color w:val="auto"/>
            </w:rPr>
            <w:instrText xml:space="preserve"> PAGEREF _Toc28621 \h </w:instrText>
          </w:r>
          <w:r>
            <w:rPr>
              <w:rFonts w:hint="default" w:ascii="Times New Roman" w:hAnsi="Times New Roman" w:cs="Times New Roman"/>
              <w:color w:val="auto"/>
            </w:rPr>
            <w:fldChar w:fldCharType="separate"/>
          </w:r>
          <w:r>
            <w:rPr>
              <w:rFonts w:hint="default" w:ascii="Times New Roman" w:hAnsi="Times New Roman" w:cs="Times New Roman"/>
              <w:color w:val="auto"/>
            </w:rPr>
            <w:t>4</w:t>
          </w:r>
          <w:r>
            <w:rPr>
              <w:rFonts w:hint="default" w:ascii="Times New Roman" w:hAnsi="Times New Roman" w:cs="Times New Roman"/>
              <w:color w:val="auto"/>
            </w:rPr>
            <w:fldChar w:fldCharType="end"/>
          </w:r>
          <w:r>
            <w:rPr>
              <w:rFonts w:hint="default" w:ascii="Times New Roman" w:hAnsi="Times New Roman" w:cs="Times New Roman"/>
              <w:color w:val="auto"/>
              <w:szCs w:val="24"/>
              <w:lang w:val="zh-CN"/>
            </w:rPr>
            <w:fldChar w:fldCharType="end"/>
          </w:r>
        </w:p>
        <w:p w14:paraId="7716B5F9">
          <w:pPr>
            <w:pStyle w:val="8"/>
            <w:tabs>
              <w:tab w:val="right" w:leader="dot" w:pos="8306"/>
              <w:tab w:val="clear" w:pos="8296"/>
            </w:tabs>
            <w:rPr>
              <w:rFonts w:hint="default" w:ascii="Times New Roman" w:hAnsi="Times New Roman" w:cs="Times New Roman"/>
              <w:color w:val="auto"/>
            </w:rPr>
          </w:pPr>
          <w:r>
            <w:rPr>
              <w:rFonts w:hint="default" w:ascii="Times New Roman" w:hAnsi="Times New Roman" w:cs="Times New Roman"/>
              <w:color w:val="auto"/>
              <w:szCs w:val="24"/>
              <w:lang w:val="zh-CN"/>
            </w:rPr>
            <w:fldChar w:fldCharType="begin"/>
          </w:r>
          <w:r>
            <w:rPr>
              <w:rFonts w:hint="default" w:ascii="Times New Roman" w:hAnsi="Times New Roman" w:cs="Times New Roman"/>
              <w:color w:val="auto"/>
              <w:szCs w:val="24"/>
              <w:lang w:val="zh-CN"/>
            </w:rPr>
            <w:instrText xml:space="preserve"> HYPERLINK \l _Toc23186 </w:instrText>
          </w:r>
          <w:r>
            <w:rPr>
              <w:rFonts w:hint="default" w:ascii="Times New Roman" w:hAnsi="Times New Roman" w:cs="Times New Roman"/>
              <w:color w:val="auto"/>
              <w:szCs w:val="24"/>
              <w:lang w:val="zh-CN"/>
            </w:rPr>
            <w:fldChar w:fldCharType="separate"/>
          </w:r>
          <w:r>
            <w:rPr>
              <w:rFonts w:hint="default" w:ascii="Times New Roman" w:hAnsi="Times New Roman" w:cs="Times New Roman"/>
              <w:color w:val="auto"/>
            </w:rPr>
            <w:t>5.</w:t>
          </w:r>
          <w:r>
            <w:rPr>
              <w:rFonts w:hint="default" w:ascii="Times New Roman" w:hAnsi="Times New Roman" w:cs="Times New Roman"/>
              <w:color w:val="auto"/>
              <w:lang w:val="en-US" w:eastAsia="zh-CN"/>
            </w:rPr>
            <w:t>3</w:t>
          </w:r>
          <w:r>
            <w:rPr>
              <w:rFonts w:hint="default" w:ascii="Times New Roman" w:hAnsi="Times New Roman" w:cs="Times New Roman"/>
              <w:color w:val="auto"/>
            </w:rPr>
            <w:t xml:space="preserve"> </w:t>
          </w:r>
          <w:r>
            <w:rPr>
              <w:rFonts w:hint="eastAsia" w:cs="Times New Roman"/>
              <w:color w:val="auto"/>
              <w:lang w:eastAsia="zh-CN"/>
            </w:rPr>
            <w:t>排放因子</w:t>
          </w:r>
          <w:r>
            <w:rPr>
              <w:rFonts w:hint="default" w:ascii="Times New Roman" w:hAnsi="Times New Roman" w:cs="Times New Roman"/>
              <w:color w:val="auto"/>
            </w:rPr>
            <w:tab/>
          </w:r>
          <w:r>
            <w:rPr>
              <w:rFonts w:hint="default" w:ascii="Times New Roman" w:hAnsi="Times New Roman" w:cs="Times New Roman"/>
              <w:color w:val="auto"/>
            </w:rPr>
            <w:fldChar w:fldCharType="begin"/>
          </w:r>
          <w:r>
            <w:rPr>
              <w:rFonts w:hint="default" w:ascii="Times New Roman" w:hAnsi="Times New Roman" w:cs="Times New Roman"/>
              <w:color w:val="auto"/>
            </w:rPr>
            <w:instrText xml:space="preserve"> PAGEREF _Toc23186 \h </w:instrText>
          </w:r>
          <w:r>
            <w:rPr>
              <w:rFonts w:hint="default" w:ascii="Times New Roman" w:hAnsi="Times New Roman" w:cs="Times New Roman"/>
              <w:color w:val="auto"/>
            </w:rPr>
            <w:fldChar w:fldCharType="separate"/>
          </w:r>
          <w:r>
            <w:rPr>
              <w:rFonts w:hint="default" w:ascii="Times New Roman" w:hAnsi="Times New Roman" w:cs="Times New Roman"/>
              <w:color w:val="auto"/>
            </w:rPr>
            <w:t>8</w:t>
          </w:r>
          <w:r>
            <w:rPr>
              <w:rFonts w:hint="default" w:ascii="Times New Roman" w:hAnsi="Times New Roman" w:cs="Times New Roman"/>
              <w:color w:val="auto"/>
            </w:rPr>
            <w:fldChar w:fldCharType="end"/>
          </w:r>
          <w:r>
            <w:rPr>
              <w:rFonts w:hint="default" w:ascii="Times New Roman" w:hAnsi="Times New Roman" w:cs="Times New Roman"/>
              <w:color w:val="auto"/>
              <w:szCs w:val="24"/>
              <w:lang w:val="zh-CN"/>
            </w:rPr>
            <w:fldChar w:fldCharType="end"/>
          </w:r>
        </w:p>
        <w:p w14:paraId="0F977D80">
          <w:pPr>
            <w:pStyle w:val="14"/>
            <w:tabs>
              <w:tab w:val="right" w:leader="dot" w:pos="8306"/>
              <w:tab w:val="clear" w:pos="8296"/>
            </w:tabs>
            <w:rPr>
              <w:rFonts w:hint="default" w:ascii="Times New Roman" w:hAnsi="Times New Roman" w:cs="Times New Roman"/>
              <w:color w:val="auto"/>
            </w:rPr>
          </w:pPr>
          <w:r>
            <w:rPr>
              <w:rFonts w:hint="default" w:ascii="Times New Roman" w:hAnsi="Times New Roman" w:cs="Times New Roman"/>
              <w:color w:val="auto"/>
              <w:szCs w:val="24"/>
              <w:lang w:val="zh-CN"/>
            </w:rPr>
            <w:fldChar w:fldCharType="begin"/>
          </w:r>
          <w:r>
            <w:rPr>
              <w:rFonts w:hint="default" w:ascii="Times New Roman" w:hAnsi="Times New Roman" w:cs="Times New Roman"/>
              <w:color w:val="auto"/>
              <w:szCs w:val="24"/>
              <w:lang w:val="zh-CN"/>
            </w:rPr>
            <w:instrText xml:space="preserve"> HYPERLINK \l _Toc16234 </w:instrText>
          </w:r>
          <w:r>
            <w:rPr>
              <w:rFonts w:hint="default" w:ascii="Times New Roman" w:hAnsi="Times New Roman" w:cs="Times New Roman"/>
              <w:color w:val="auto"/>
              <w:szCs w:val="24"/>
              <w:lang w:val="zh-CN"/>
            </w:rPr>
            <w:fldChar w:fldCharType="separate"/>
          </w:r>
          <w:r>
            <w:rPr>
              <w:rFonts w:hint="default" w:ascii="Times New Roman" w:hAnsi="Times New Roman" w:cs="Times New Roman"/>
              <w:color w:val="auto"/>
            </w:rPr>
            <w:t>6 计量方法</w:t>
          </w:r>
          <w:r>
            <w:rPr>
              <w:rFonts w:hint="default" w:ascii="Times New Roman" w:hAnsi="Times New Roman" w:cs="Times New Roman"/>
              <w:color w:val="auto"/>
            </w:rPr>
            <w:tab/>
          </w:r>
          <w:r>
            <w:rPr>
              <w:rFonts w:hint="default" w:ascii="Times New Roman" w:hAnsi="Times New Roman" w:cs="Times New Roman"/>
              <w:color w:val="auto"/>
            </w:rPr>
            <w:fldChar w:fldCharType="begin"/>
          </w:r>
          <w:r>
            <w:rPr>
              <w:rFonts w:hint="default" w:ascii="Times New Roman" w:hAnsi="Times New Roman" w:cs="Times New Roman"/>
              <w:color w:val="auto"/>
            </w:rPr>
            <w:instrText xml:space="preserve"> PAGEREF _Toc16234 \h </w:instrText>
          </w:r>
          <w:r>
            <w:rPr>
              <w:rFonts w:hint="default" w:ascii="Times New Roman" w:hAnsi="Times New Roman" w:cs="Times New Roman"/>
              <w:color w:val="auto"/>
            </w:rPr>
            <w:fldChar w:fldCharType="separate"/>
          </w:r>
          <w:r>
            <w:rPr>
              <w:rFonts w:hint="default" w:ascii="Times New Roman" w:hAnsi="Times New Roman" w:cs="Times New Roman"/>
              <w:color w:val="auto"/>
            </w:rPr>
            <w:t>8</w:t>
          </w:r>
          <w:r>
            <w:rPr>
              <w:rFonts w:hint="default" w:ascii="Times New Roman" w:hAnsi="Times New Roman" w:cs="Times New Roman"/>
              <w:color w:val="auto"/>
            </w:rPr>
            <w:fldChar w:fldCharType="end"/>
          </w:r>
          <w:r>
            <w:rPr>
              <w:rFonts w:hint="default" w:ascii="Times New Roman" w:hAnsi="Times New Roman" w:cs="Times New Roman"/>
              <w:color w:val="auto"/>
              <w:szCs w:val="24"/>
              <w:lang w:val="zh-CN"/>
            </w:rPr>
            <w:fldChar w:fldCharType="end"/>
          </w:r>
        </w:p>
        <w:p w14:paraId="50810C73">
          <w:pPr>
            <w:pStyle w:val="8"/>
            <w:tabs>
              <w:tab w:val="right" w:leader="dot" w:pos="8306"/>
              <w:tab w:val="clear" w:pos="8296"/>
            </w:tabs>
            <w:rPr>
              <w:rFonts w:hint="default" w:ascii="Times New Roman" w:hAnsi="Times New Roman" w:cs="Times New Roman"/>
              <w:color w:val="auto"/>
            </w:rPr>
          </w:pPr>
          <w:r>
            <w:rPr>
              <w:rFonts w:hint="default" w:ascii="Times New Roman" w:hAnsi="Times New Roman" w:cs="Times New Roman"/>
              <w:color w:val="auto"/>
              <w:szCs w:val="24"/>
              <w:lang w:val="zh-CN"/>
            </w:rPr>
            <w:fldChar w:fldCharType="begin"/>
          </w:r>
          <w:r>
            <w:rPr>
              <w:rFonts w:hint="default" w:ascii="Times New Roman" w:hAnsi="Times New Roman" w:cs="Times New Roman"/>
              <w:color w:val="auto"/>
              <w:szCs w:val="24"/>
              <w:lang w:val="zh-CN"/>
            </w:rPr>
            <w:instrText xml:space="preserve"> HYPERLINK \l _Toc21403 </w:instrText>
          </w:r>
          <w:r>
            <w:rPr>
              <w:rFonts w:hint="default" w:ascii="Times New Roman" w:hAnsi="Times New Roman" w:cs="Times New Roman"/>
              <w:color w:val="auto"/>
              <w:szCs w:val="24"/>
              <w:lang w:val="zh-CN"/>
            </w:rPr>
            <w:fldChar w:fldCharType="separate"/>
          </w:r>
          <w:r>
            <w:rPr>
              <w:rFonts w:hint="default" w:ascii="Times New Roman" w:hAnsi="Times New Roman" w:cs="Times New Roman"/>
              <w:color w:val="auto"/>
            </w:rPr>
            <w:t>6.1 活动数据的获取</w:t>
          </w:r>
          <w:r>
            <w:rPr>
              <w:rFonts w:hint="default" w:ascii="Times New Roman" w:hAnsi="Times New Roman" w:cs="Times New Roman"/>
              <w:color w:val="auto"/>
            </w:rPr>
            <w:tab/>
          </w:r>
          <w:r>
            <w:rPr>
              <w:rFonts w:hint="default" w:ascii="Times New Roman" w:hAnsi="Times New Roman" w:cs="Times New Roman"/>
              <w:color w:val="auto"/>
            </w:rPr>
            <w:fldChar w:fldCharType="begin"/>
          </w:r>
          <w:r>
            <w:rPr>
              <w:rFonts w:hint="default" w:ascii="Times New Roman" w:hAnsi="Times New Roman" w:cs="Times New Roman"/>
              <w:color w:val="auto"/>
            </w:rPr>
            <w:instrText xml:space="preserve"> PAGEREF _Toc21403 \h </w:instrText>
          </w:r>
          <w:r>
            <w:rPr>
              <w:rFonts w:hint="default" w:ascii="Times New Roman" w:hAnsi="Times New Roman" w:cs="Times New Roman"/>
              <w:color w:val="auto"/>
            </w:rPr>
            <w:fldChar w:fldCharType="separate"/>
          </w:r>
          <w:r>
            <w:rPr>
              <w:rFonts w:hint="default" w:ascii="Times New Roman" w:hAnsi="Times New Roman" w:cs="Times New Roman"/>
              <w:color w:val="auto"/>
            </w:rPr>
            <w:t>8</w:t>
          </w:r>
          <w:r>
            <w:rPr>
              <w:rFonts w:hint="default" w:ascii="Times New Roman" w:hAnsi="Times New Roman" w:cs="Times New Roman"/>
              <w:color w:val="auto"/>
            </w:rPr>
            <w:fldChar w:fldCharType="end"/>
          </w:r>
          <w:r>
            <w:rPr>
              <w:rFonts w:hint="default" w:ascii="Times New Roman" w:hAnsi="Times New Roman" w:cs="Times New Roman"/>
              <w:color w:val="auto"/>
              <w:szCs w:val="24"/>
              <w:lang w:val="zh-CN"/>
            </w:rPr>
            <w:fldChar w:fldCharType="end"/>
          </w:r>
        </w:p>
        <w:p w14:paraId="4164C933">
          <w:pPr>
            <w:pStyle w:val="8"/>
            <w:tabs>
              <w:tab w:val="right" w:leader="dot" w:pos="8306"/>
              <w:tab w:val="clear" w:pos="8296"/>
            </w:tabs>
            <w:rPr>
              <w:rFonts w:hint="default" w:ascii="Times New Roman" w:hAnsi="Times New Roman" w:cs="Times New Roman"/>
              <w:color w:val="auto"/>
            </w:rPr>
          </w:pPr>
          <w:r>
            <w:rPr>
              <w:rFonts w:hint="default" w:ascii="Times New Roman" w:hAnsi="Times New Roman" w:cs="Times New Roman"/>
              <w:color w:val="auto"/>
              <w:szCs w:val="24"/>
              <w:lang w:val="zh-CN"/>
            </w:rPr>
            <w:fldChar w:fldCharType="begin"/>
          </w:r>
          <w:r>
            <w:rPr>
              <w:rFonts w:hint="default" w:ascii="Times New Roman" w:hAnsi="Times New Roman" w:cs="Times New Roman"/>
              <w:color w:val="auto"/>
              <w:szCs w:val="24"/>
              <w:lang w:val="zh-CN"/>
            </w:rPr>
            <w:instrText xml:space="preserve"> HYPERLINK \l _Toc30790 </w:instrText>
          </w:r>
          <w:r>
            <w:rPr>
              <w:rFonts w:hint="default" w:ascii="Times New Roman" w:hAnsi="Times New Roman" w:cs="Times New Roman"/>
              <w:color w:val="auto"/>
              <w:szCs w:val="24"/>
              <w:lang w:val="zh-CN"/>
            </w:rPr>
            <w:fldChar w:fldCharType="separate"/>
          </w:r>
          <w:r>
            <w:rPr>
              <w:rFonts w:hint="default" w:ascii="Times New Roman" w:hAnsi="Times New Roman" w:cs="Times New Roman"/>
              <w:color w:val="auto"/>
            </w:rPr>
            <w:t>6.2 碳排放量的获取</w:t>
          </w:r>
          <w:r>
            <w:rPr>
              <w:rFonts w:hint="default" w:ascii="Times New Roman" w:hAnsi="Times New Roman" w:cs="Times New Roman"/>
              <w:color w:val="auto"/>
            </w:rPr>
            <w:tab/>
          </w:r>
          <w:r>
            <w:rPr>
              <w:rFonts w:hint="default" w:ascii="Times New Roman" w:hAnsi="Times New Roman" w:cs="Times New Roman"/>
              <w:color w:val="auto"/>
            </w:rPr>
            <w:fldChar w:fldCharType="begin"/>
          </w:r>
          <w:r>
            <w:rPr>
              <w:rFonts w:hint="default" w:ascii="Times New Roman" w:hAnsi="Times New Roman" w:cs="Times New Roman"/>
              <w:color w:val="auto"/>
            </w:rPr>
            <w:instrText xml:space="preserve"> PAGEREF _Toc30790 \h </w:instrText>
          </w:r>
          <w:r>
            <w:rPr>
              <w:rFonts w:hint="default" w:ascii="Times New Roman" w:hAnsi="Times New Roman" w:cs="Times New Roman"/>
              <w:color w:val="auto"/>
            </w:rPr>
            <w:fldChar w:fldCharType="separate"/>
          </w:r>
          <w:r>
            <w:rPr>
              <w:rFonts w:hint="default" w:ascii="Times New Roman" w:hAnsi="Times New Roman" w:cs="Times New Roman"/>
              <w:color w:val="auto"/>
            </w:rPr>
            <w:t>10</w:t>
          </w:r>
          <w:r>
            <w:rPr>
              <w:rFonts w:hint="default" w:ascii="Times New Roman" w:hAnsi="Times New Roman" w:cs="Times New Roman"/>
              <w:color w:val="auto"/>
            </w:rPr>
            <w:fldChar w:fldCharType="end"/>
          </w:r>
          <w:r>
            <w:rPr>
              <w:rFonts w:hint="default" w:ascii="Times New Roman" w:hAnsi="Times New Roman" w:cs="Times New Roman"/>
              <w:color w:val="auto"/>
              <w:szCs w:val="24"/>
              <w:lang w:val="zh-CN"/>
            </w:rPr>
            <w:fldChar w:fldCharType="end"/>
          </w:r>
        </w:p>
        <w:p w14:paraId="47687396">
          <w:pPr>
            <w:pStyle w:val="8"/>
            <w:tabs>
              <w:tab w:val="right" w:leader="dot" w:pos="8306"/>
              <w:tab w:val="clear" w:pos="8296"/>
            </w:tabs>
            <w:rPr>
              <w:rFonts w:hint="default" w:ascii="Times New Roman" w:hAnsi="Times New Roman" w:cs="Times New Roman"/>
              <w:color w:val="auto"/>
            </w:rPr>
          </w:pPr>
          <w:r>
            <w:rPr>
              <w:rFonts w:hint="default" w:ascii="Times New Roman" w:hAnsi="Times New Roman" w:cs="Times New Roman"/>
              <w:color w:val="auto"/>
              <w:szCs w:val="24"/>
              <w:lang w:val="zh-CN"/>
            </w:rPr>
            <w:fldChar w:fldCharType="begin"/>
          </w:r>
          <w:r>
            <w:rPr>
              <w:rFonts w:hint="default" w:ascii="Times New Roman" w:hAnsi="Times New Roman" w:cs="Times New Roman"/>
              <w:color w:val="auto"/>
              <w:szCs w:val="24"/>
              <w:lang w:val="zh-CN"/>
            </w:rPr>
            <w:instrText xml:space="preserve"> HYPERLINK \l _Toc10815 </w:instrText>
          </w:r>
          <w:r>
            <w:rPr>
              <w:rFonts w:hint="default" w:ascii="Times New Roman" w:hAnsi="Times New Roman" w:cs="Times New Roman"/>
              <w:color w:val="auto"/>
              <w:szCs w:val="24"/>
              <w:lang w:val="zh-CN"/>
            </w:rPr>
            <w:fldChar w:fldCharType="separate"/>
          </w:r>
          <w:r>
            <w:rPr>
              <w:rFonts w:hint="default" w:ascii="Times New Roman" w:hAnsi="Times New Roman" w:cs="Times New Roman"/>
              <w:color w:val="auto"/>
              <w:szCs w:val="24"/>
            </w:rPr>
            <w:t>6.3 碳标识的获取</w:t>
          </w:r>
          <w:r>
            <w:rPr>
              <w:rFonts w:hint="default" w:ascii="Times New Roman" w:hAnsi="Times New Roman" w:cs="Times New Roman"/>
              <w:color w:val="auto"/>
            </w:rPr>
            <w:tab/>
          </w:r>
          <w:r>
            <w:rPr>
              <w:rFonts w:hint="default" w:ascii="Times New Roman" w:hAnsi="Times New Roman" w:cs="Times New Roman"/>
              <w:color w:val="auto"/>
            </w:rPr>
            <w:fldChar w:fldCharType="begin"/>
          </w:r>
          <w:r>
            <w:rPr>
              <w:rFonts w:hint="default" w:ascii="Times New Roman" w:hAnsi="Times New Roman" w:cs="Times New Roman"/>
              <w:color w:val="auto"/>
            </w:rPr>
            <w:instrText xml:space="preserve"> PAGEREF _Toc10815 \h </w:instrText>
          </w:r>
          <w:r>
            <w:rPr>
              <w:rFonts w:hint="default" w:ascii="Times New Roman" w:hAnsi="Times New Roman" w:cs="Times New Roman"/>
              <w:color w:val="auto"/>
            </w:rPr>
            <w:fldChar w:fldCharType="separate"/>
          </w:r>
          <w:r>
            <w:rPr>
              <w:rFonts w:hint="default" w:ascii="Times New Roman" w:hAnsi="Times New Roman" w:cs="Times New Roman"/>
              <w:color w:val="auto"/>
            </w:rPr>
            <w:t>11</w:t>
          </w:r>
          <w:r>
            <w:rPr>
              <w:rFonts w:hint="default" w:ascii="Times New Roman" w:hAnsi="Times New Roman" w:cs="Times New Roman"/>
              <w:color w:val="auto"/>
            </w:rPr>
            <w:fldChar w:fldCharType="end"/>
          </w:r>
          <w:r>
            <w:rPr>
              <w:rFonts w:hint="default" w:ascii="Times New Roman" w:hAnsi="Times New Roman" w:cs="Times New Roman"/>
              <w:color w:val="auto"/>
              <w:szCs w:val="24"/>
              <w:lang w:val="zh-CN"/>
            </w:rPr>
            <w:fldChar w:fldCharType="end"/>
          </w:r>
        </w:p>
        <w:p w14:paraId="27A7CE8F">
          <w:pPr>
            <w:pStyle w:val="14"/>
            <w:tabs>
              <w:tab w:val="right" w:leader="dot" w:pos="8306"/>
              <w:tab w:val="clear" w:pos="8296"/>
            </w:tabs>
            <w:rPr>
              <w:rFonts w:hint="default" w:ascii="Times New Roman" w:hAnsi="Times New Roman" w:cs="Times New Roman"/>
              <w:color w:val="auto"/>
            </w:rPr>
          </w:pPr>
          <w:r>
            <w:rPr>
              <w:rFonts w:hint="default" w:ascii="Times New Roman" w:hAnsi="Times New Roman" w:cs="Times New Roman"/>
              <w:color w:val="auto"/>
              <w:szCs w:val="24"/>
              <w:lang w:val="zh-CN"/>
            </w:rPr>
            <w:fldChar w:fldCharType="begin"/>
          </w:r>
          <w:r>
            <w:rPr>
              <w:rFonts w:hint="default" w:ascii="Times New Roman" w:hAnsi="Times New Roman" w:cs="Times New Roman"/>
              <w:color w:val="auto"/>
              <w:szCs w:val="24"/>
              <w:lang w:val="zh-CN"/>
            </w:rPr>
            <w:instrText xml:space="preserve"> HYPERLINK \l _Toc10585 </w:instrText>
          </w:r>
          <w:r>
            <w:rPr>
              <w:rFonts w:hint="default" w:ascii="Times New Roman" w:hAnsi="Times New Roman" w:cs="Times New Roman"/>
              <w:color w:val="auto"/>
              <w:szCs w:val="24"/>
              <w:lang w:val="zh-CN"/>
            </w:rPr>
            <w:fldChar w:fldCharType="separate"/>
          </w:r>
          <w:r>
            <w:rPr>
              <w:rFonts w:hint="default" w:ascii="Times New Roman" w:hAnsi="Times New Roman" w:cs="Times New Roman"/>
              <w:color w:val="auto"/>
            </w:rPr>
            <w:t>7 计量结果表达</w:t>
          </w:r>
          <w:r>
            <w:rPr>
              <w:rFonts w:hint="default" w:ascii="Times New Roman" w:hAnsi="Times New Roman" w:cs="Times New Roman"/>
              <w:color w:val="auto"/>
            </w:rPr>
            <w:tab/>
          </w:r>
          <w:r>
            <w:rPr>
              <w:rFonts w:hint="default" w:ascii="Times New Roman" w:hAnsi="Times New Roman" w:cs="Times New Roman"/>
              <w:color w:val="auto"/>
            </w:rPr>
            <w:fldChar w:fldCharType="begin"/>
          </w:r>
          <w:r>
            <w:rPr>
              <w:rFonts w:hint="default" w:ascii="Times New Roman" w:hAnsi="Times New Roman" w:cs="Times New Roman"/>
              <w:color w:val="auto"/>
            </w:rPr>
            <w:instrText xml:space="preserve"> PAGEREF _Toc10585 \h </w:instrText>
          </w:r>
          <w:r>
            <w:rPr>
              <w:rFonts w:hint="default" w:ascii="Times New Roman" w:hAnsi="Times New Roman" w:cs="Times New Roman"/>
              <w:color w:val="auto"/>
            </w:rPr>
            <w:fldChar w:fldCharType="separate"/>
          </w:r>
          <w:r>
            <w:rPr>
              <w:rFonts w:hint="default" w:ascii="Times New Roman" w:hAnsi="Times New Roman" w:cs="Times New Roman"/>
              <w:color w:val="auto"/>
            </w:rPr>
            <w:t>11</w:t>
          </w:r>
          <w:r>
            <w:rPr>
              <w:rFonts w:hint="default" w:ascii="Times New Roman" w:hAnsi="Times New Roman" w:cs="Times New Roman"/>
              <w:color w:val="auto"/>
            </w:rPr>
            <w:fldChar w:fldCharType="end"/>
          </w:r>
          <w:r>
            <w:rPr>
              <w:rFonts w:hint="default" w:ascii="Times New Roman" w:hAnsi="Times New Roman" w:cs="Times New Roman"/>
              <w:color w:val="auto"/>
              <w:szCs w:val="24"/>
              <w:lang w:val="zh-CN"/>
            </w:rPr>
            <w:fldChar w:fldCharType="end"/>
          </w:r>
        </w:p>
        <w:p w14:paraId="188691FE">
          <w:pPr>
            <w:pStyle w:val="8"/>
            <w:tabs>
              <w:tab w:val="right" w:leader="dot" w:pos="8306"/>
              <w:tab w:val="clear" w:pos="8296"/>
            </w:tabs>
            <w:rPr>
              <w:rFonts w:hint="default" w:ascii="Times New Roman" w:hAnsi="Times New Roman" w:cs="Times New Roman"/>
              <w:color w:val="auto"/>
            </w:rPr>
          </w:pPr>
          <w:r>
            <w:rPr>
              <w:rFonts w:hint="default" w:ascii="Times New Roman" w:hAnsi="Times New Roman" w:cs="Times New Roman"/>
              <w:color w:val="auto"/>
              <w:szCs w:val="24"/>
              <w:lang w:val="zh-CN"/>
            </w:rPr>
            <w:fldChar w:fldCharType="begin"/>
          </w:r>
          <w:r>
            <w:rPr>
              <w:rFonts w:hint="default" w:ascii="Times New Roman" w:hAnsi="Times New Roman" w:cs="Times New Roman"/>
              <w:color w:val="auto"/>
              <w:szCs w:val="24"/>
              <w:lang w:val="zh-CN"/>
            </w:rPr>
            <w:instrText xml:space="preserve"> HYPERLINK \l _Toc20008 </w:instrText>
          </w:r>
          <w:r>
            <w:rPr>
              <w:rFonts w:hint="default" w:ascii="Times New Roman" w:hAnsi="Times New Roman" w:cs="Times New Roman"/>
              <w:color w:val="auto"/>
              <w:szCs w:val="24"/>
              <w:lang w:val="zh-CN"/>
            </w:rPr>
            <w:fldChar w:fldCharType="separate"/>
          </w:r>
          <w:r>
            <w:rPr>
              <w:rFonts w:hint="default" w:ascii="Times New Roman" w:hAnsi="Times New Roman" w:cs="Times New Roman"/>
              <w:color w:val="auto"/>
            </w:rPr>
            <w:t>7.1 一般要求</w:t>
          </w:r>
          <w:r>
            <w:rPr>
              <w:rFonts w:hint="default" w:ascii="Times New Roman" w:hAnsi="Times New Roman" w:cs="Times New Roman"/>
              <w:color w:val="auto"/>
            </w:rPr>
            <w:tab/>
          </w:r>
          <w:r>
            <w:rPr>
              <w:rFonts w:hint="default" w:ascii="Times New Roman" w:hAnsi="Times New Roman" w:cs="Times New Roman"/>
              <w:color w:val="auto"/>
            </w:rPr>
            <w:fldChar w:fldCharType="begin"/>
          </w:r>
          <w:r>
            <w:rPr>
              <w:rFonts w:hint="default" w:ascii="Times New Roman" w:hAnsi="Times New Roman" w:cs="Times New Roman"/>
              <w:color w:val="auto"/>
            </w:rPr>
            <w:instrText xml:space="preserve"> PAGEREF _Toc20008 \h </w:instrText>
          </w:r>
          <w:r>
            <w:rPr>
              <w:rFonts w:hint="default" w:ascii="Times New Roman" w:hAnsi="Times New Roman" w:cs="Times New Roman"/>
              <w:color w:val="auto"/>
            </w:rPr>
            <w:fldChar w:fldCharType="separate"/>
          </w:r>
          <w:r>
            <w:rPr>
              <w:rFonts w:hint="default" w:ascii="Times New Roman" w:hAnsi="Times New Roman" w:cs="Times New Roman"/>
              <w:color w:val="auto"/>
            </w:rPr>
            <w:t>11</w:t>
          </w:r>
          <w:r>
            <w:rPr>
              <w:rFonts w:hint="default" w:ascii="Times New Roman" w:hAnsi="Times New Roman" w:cs="Times New Roman"/>
              <w:color w:val="auto"/>
            </w:rPr>
            <w:fldChar w:fldCharType="end"/>
          </w:r>
          <w:r>
            <w:rPr>
              <w:rFonts w:hint="default" w:ascii="Times New Roman" w:hAnsi="Times New Roman" w:cs="Times New Roman"/>
              <w:color w:val="auto"/>
              <w:szCs w:val="24"/>
              <w:lang w:val="zh-CN"/>
            </w:rPr>
            <w:fldChar w:fldCharType="end"/>
          </w:r>
        </w:p>
        <w:p w14:paraId="67D9BE33">
          <w:pPr>
            <w:pStyle w:val="8"/>
            <w:tabs>
              <w:tab w:val="right" w:leader="dot" w:pos="8306"/>
              <w:tab w:val="clear" w:pos="8296"/>
            </w:tabs>
            <w:rPr>
              <w:rFonts w:hint="default" w:ascii="Times New Roman" w:hAnsi="Times New Roman" w:cs="Times New Roman"/>
              <w:color w:val="auto"/>
            </w:rPr>
          </w:pPr>
          <w:r>
            <w:rPr>
              <w:rFonts w:hint="default" w:ascii="Times New Roman" w:hAnsi="Times New Roman" w:cs="Times New Roman"/>
              <w:color w:val="auto"/>
              <w:szCs w:val="24"/>
              <w:lang w:val="zh-CN"/>
            </w:rPr>
            <w:fldChar w:fldCharType="begin"/>
          </w:r>
          <w:r>
            <w:rPr>
              <w:rFonts w:hint="default" w:ascii="Times New Roman" w:hAnsi="Times New Roman" w:cs="Times New Roman"/>
              <w:color w:val="auto"/>
              <w:szCs w:val="24"/>
              <w:lang w:val="zh-CN"/>
            </w:rPr>
            <w:instrText xml:space="preserve"> HYPERLINK \l _Toc5590 </w:instrText>
          </w:r>
          <w:r>
            <w:rPr>
              <w:rFonts w:hint="default" w:ascii="Times New Roman" w:hAnsi="Times New Roman" w:cs="Times New Roman"/>
              <w:color w:val="auto"/>
              <w:szCs w:val="24"/>
              <w:lang w:val="zh-CN"/>
            </w:rPr>
            <w:fldChar w:fldCharType="separate"/>
          </w:r>
          <w:r>
            <w:rPr>
              <w:rFonts w:hint="default" w:ascii="Times New Roman" w:hAnsi="Times New Roman" w:cs="Times New Roman"/>
              <w:color w:val="auto"/>
            </w:rPr>
            <w:t>7.2 报告要求</w:t>
          </w:r>
          <w:r>
            <w:rPr>
              <w:rFonts w:hint="default" w:ascii="Times New Roman" w:hAnsi="Times New Roman" w:cs="Times New Roman"/>
              <w:color w:val="auto"/>
            </w:rPr>
            <w:tab/>
          </w:r>
          <w:r>
            <w:rPr>
              <w:rFonts w:hint="default" w:ascii="Times New Roman" w:hAnsi="Times New Roman" w:cs="Times New Roman"/>
              <w:color w:val="auto"/>
            </w:rPr>
            <w:fldChar w:fldCharType="begin"/>
          </w:r>
          <w:r>
            <w:rPr>
              <w:rFonts w:hint="default" w:ascii="Times New Roman" w:hAnsi="Times New Roman" w:cs="Times New Roman"/>
              <w:color w:val="auto"/>
            </w:rPr>
            <w:instrText xml:space="preserve"> PAGEREF _Toc5590 \h </w:instrText>
          </w:r>
          <w:r>
            <w:rPr>
              <w:rFonts w:hint="default" w:ascii="Times New Roman" w:hAnsi="Times New Roman" w:cs="Times New Roman"/>
              <w:color w:val="auto"/>
            </w:rPr>
            <w:fldChar w:fldCharType="separate"/>
          </w:r>
          <w:r>
            <w:rPr>
              <w:rFonts w:hint="default" w:ascii="Times New Roman" w:hAnsi="Times New Roman" w:cs="Times New Roman"/>
              <w:color w:val="auto"/>
            </w:rPr>
            <w:t>11</w:t>
          </w:r>
          <w:r>
            <w:rPr>
              <w:rFonts w:hint="default" w:ascii="Times New Roman" w:hAnsi="Times New Roman" w:cs="Times New Roman"/>
              <w:color w:val="auto"/>
            </w:rPr>
            <w:fldChar w:fldCharType="end"/>
          </w:r>
          <w:r>
            <w:rPr>
              <w:rFonts w:hint="default" w:ascii="Times New Roman" w:hAnsi="Times New Roman" w:cs="Times New Roman"/>
              <w:color w:val="auto"/>
              <w:szCs w:val="24"/>
              <w:lang w:val="zh-CN"/>
            </w:rPr>
            <w:fldChar w:fldCharType="end"/>
          </w:r>
        </w:p>
        <w:p w14:paraId="4D6460D0">
          <w:pPr>
            <w:pStyle w:val="14"/>
            <w:tabs>
              <w:tab w:val="right" w:leader="dot" w:pos="8306"/>
              <w:tab w:val="clear" w:pos="8296"/>
            </w:tabs>
            <w:rPr>
              <w:rFonts w:hint="default" w:ascii="Times New Roman" w:hAnsi="Times New Roman" w:cs="Times New Roman"/>
              <w:color w:val="auto"/>
            </w:rPr>
          </w:pPr>
          <w:r>
            <w:rPr>
              <w:rFonts w:hint="default" w:ascii="Times New Roman" w:hAnsi="Times New Roman" w:cs="Times New Roman"/>
              <w:color w:val="auto"/>
              <w:szCs w:val="24"/>
              <w:lang w:val="zh-CN"/>
            </w:rPr>
            <w:fldChar w:fldCharType="begin"/>
          </w:r>
          <w:r>
            <w:rPr>
              <w:rFonts w:hint="default" w:ascii="Times New Roman" w:hAnsi="Times New Roman" w:cs="Times New Roman"/>
              <w:color w:val="auto"/>
              <w:szCs w:val="24"/>
              <w:lang w:val="zh-CN"/>
            </w:rPr>
            <w:instrText xml:space="preserve"> HYPERLINK \l _Toc1836 </w:instrText>
          </w:r>
          <w:r>
            <w:rPr>
              <w:rFonts w:hint="default" w:ascii="Times New Roman" w:hAnsi="Times New Roman" w:cs="Times New Roman"/>
              <w:color w:val="auto"/>
              <w:szCs w:val="24"/>
              <w:lang w:val="zh-CN"/>
            </w:rPr>
            <w:fldChar w:fldCharType="separate"/>
          </w:r>
          <w:r>
            <w:rPr>
              <w:rFonts w:hint="default" w:ascii="Times New Roman" w:hAnsi="Times New Roman" w:cs="Times New Roman"/>
              <w:bCs w:val="0"/>
              <w:color w:val="auto"/>
              <w:szCs w:val="24"/>
            </w:rPr>
            <w:t>附录A</w:t>
          </w:r>
          <w:r>
            <w:rPr>
              <w:rFonts w:hint="default" w:ascii="Times New Roman" w:hAnsi="Times New Roman" w:cs="Times New Roman"/>
              <w:color w:val="auto"/>
            </w:rPr>
            <w:tab/>
          </w:r>
          <w:r>
            <w:rPr>
              <w:rFonts w:hint="default" w:ascii="Times New Roman" w:hAnsi="Times New Roman" w:cs="Times New Roman"/>
              <w:color w:val="auto"/>
            </w:rPr>
            <w:fldChar w:fldCharType="begin"/>
          </w:r>
          <w:r>
            <w:rPr>
              <w:rFonts w:hint="default" w:ascii="Times New Roman" w:hAnsi="Times New Roman" w:cs="Times New Roman"/>
              <w:color w:val="auto"/>
            </w:rPr>
            <w:instrText xml:space="preserve"> PAGEREF _Toc1836 \h </w:instrText>
          </w:r>
          <w:r>
            <w:rPr>
              <w:rFonts w:hint="default" w:ascii="Times New Roman" w:hAnsi="Times New Roman" w:cs="Times New Roman"/>
              <w:color w:val="auto"/>
            </w:rPr>
            <w:fldChar w:fldCharType="separate"/>
          </w:r>
          <w:r>
            <w:rPr>
              <w:rFonts w:hint="default" w:ascii="Times New Roman" w:hAnsi="Times New Roman" w:cs="Times New Roman"/>
              <w:color w:val="auto"/>
            </w:rPr>
            <w:t>13</w:t>
          </w:r>
          <w:r>
            <w:rPr>
              <w:rFonts w:hint="default" w:ascii="Times New Roman" w:hAnsi="Times New Roman" w:cs="Times New Roman"/>
              <w:color w:val="auto"/>
            </w:rPr>
            <w:fldChar w:fldCharType="end"/>
          </w:r>
          <w:r>
            <w:rPr>
              <w:rFonts w:hint="default" w:ascii="Times New Roman" w:hAnsi="Times New Roman" w:cs="Times New Roman"/>
              <w:color w:val="auto"/>
              <w:szCs w:val="24"/>
              <w:lang w:val="zh-CN"/>
            </w:rPr>
            <w:fldChar w:fldCharType="end"/>
          </w:r>
        </w:p>
        <w:p w14:paraId="4847AD9D">
          <w:pPr>
            <w:pStyle w:val="14"/>
            <w:tabs>
              <w:tab w:val="right" w:leader="dot" w:pos="8306"/>
              <w:tab w:val="clear" w:pos="8296"/>
            </w:tabs>
            <w:rPr>
              <w:rFonts w:hint="default" w:ascii="Times New Roman" w:hAnsi="Times New Roman" w:cs="Times New Roman"/>
              <w:color w:val="auto"/>
            </w:rPr>
          </w:pPr>
          <w:r>
            <w:rPr>
              <w:rFonts w:hint="default" w:ascii="Times New Roman" w:hAnsi="Times New Roman" w:cs="Times New Roman"/>
              <w:color w:val="auto"/>
              <w:szCs w:val="24"/>
              <w:lang w:val="zh-CN"/>
            </w:rPr>
            <w:fldChar w:fldCharType="begin"/>
          </w:r>
          <w:r>
            <w:rPr>
              <w:rFonts w:hint="default" w:ascii="Times New Roman" w:hAnsi="Times New Roman" w:cs="Times New Roman"/>
              <w:color w:val="auto"/>
              <w:szCs w:val="24"/>
              <w:lang w:val="zh-CN"/>
            </w:rPr>
            <w:instrText xml:space="preserve"> HYPERLINK \l _Toc23036 </w:instrText>
          </w:r>
          <w:r>
            <w:rPr>
              <w:rFonts w:hint="default" w:ascii="Times New Roman" w:hAnsi="Times New Roman" w:cs="Times New Roman"/>
              <w:color w:val="auto"/>
              <w:szCs w:val="24"/>
              <w:lang w:val="zh-CN"/>
            </w:rPr>
            <w:fldChar w:fldCharType="separate"/>
          </w:r>
          <w:r>
            <w:rPr>
              <w:rFonts w:hint="default" w:ascii="Times New Roman" w:hAnsi="Times New Roman" w:cs="Times New Roman"/>
              <w:bCs w:val="0"/>
              <w:color w:val="auto"/>
              <w:szCs w:val="24"/>
            </w:rPr>
            <w:t>附录B</w:t>
          </w:r>
          <w:r>
            <w:rPr>
              <w:rFonts w:hint="default" w:ascii="Times New Roman" w:hAnsi="Times New Roman" w:cs="Times New Roman"/>
              <w:color w:val="auto"/>
            </w:rPr>
            <w:tab/>
          </w:r>
          <w:r>
            <w:rPr>
              <w:rFonts w:hint="default" w:ascii="Times New Roman" w:hAnsi="Times New Roman" w:cs="Times New Roman"/>
              <w:color w:val="auto"/>
            </w:rPr>
            <w:fldChar w:fldCharType="begin"/>
          </w:r>
          <w:r>
            <w:rPr>
              <w:rFonts w:hint="default" w:ascii="Times New Roman" w:hAnsi="Times New Roman" w:cs="Times New Roman"/>
              <w:color w:val="auto"/>
            </w:rPr>
            <w:instrText xml:space="preserve"> PAGEREF _Toc23036 \h </w:instrText>
          </w:r>
          <w:r>
            <w:rPr>
              <w:rFonts w:hint="default" w:ascii="Times New Roman" w:hAnsi="Times New Roman" w:cs="Times New Roman"/>
              <w:color w:val="auto"/>
            </w:rPr>
            <w:fldChar w:fldCharType="separate"/>
          </w:r>
          <w:r>
            <w:rPr>
              <w:rFonts w:hint="default" w:ascii="Times New Roman" w:hAnsi="Times New Roman" w:cs="Times New Roman"/>
              <w:color w:val="auto"/>
            </w:rPr>
            <w:t>18</w:t>
          </w:r>
          <w:r>
            <w:rPr>
              <w:rFonts w:hint="default" w:ascii="Times New Roman" w:hAnsi="Times New Roman" w:cs="Times New Roman"/>
              <w:color w:val="auto"/>
            </w:rPr>
            <w:fldChar w:fldCharType="end"/>
          </w:r>
          <w:r>
            <w:rPr>
              <w:rFonts w:hint="default" w:ascii="Times New Roman" w:hAnsi="Times New Roman" w:cs="Times New Roman"/>
              <w:color w:val="auto"/>
              <w:szCs w:val="24"/>
              <w:lang w:val="zh-CN"/>
            </w:rPr>
            <w:fldChar w:fldCharType="end"/>
          </w:r>
        </w:p>
        <w:p w14:paraId="401F49FA">
          <w:pPr>
            <w:pStyle w:val="14"/>
            <w:tabs>
              <w:tab w:val="right" w:leader="dot" w:pos="8306"/>
              <w:tab w:val="clear" w:pos="8296"/>
            </w:tabs>
            <w:rPr>
              <w:rFonts w:hint="default" w:ascii="Times New Roman" w:hAnsi="Times New Roman" w:cs="Times New Roman"/>
              <w:color w:val="auto"/>
            </w:rPr>
          </w:pPr>
          <w:r>
            <w:rPr>
              <w:rFonts w:hint="default" w:ascii="Times New Roman" w:hAnsi="Times New Roman" w:cs="Times New Roman"/>
              <w:color w:val="auto"/>
              <w:szCs w:val="24"/>
              <w:lang w:val="zh-CN"/>
            </w:rPr>
            <w:fldChar w:fldCharType="begin"/>
          </w:r>
          <w:r>
            <w:rPr>
              <w:rFonts w:hint="default" w:ascii="Times New Roman" w:hAnsi="Times New Roman" w:cs="Times New Roman"/>
              <w:color w:val="auto"/>
              <w:szCs w:val="24"/>
              <w:lang w:val="zh-CN"/>
            </w:rPr>
            <w:instrText xml:space="preserve"> HYPERLINK \l _Toc11589 </w:instrText>
          </w:r>
          <w:r>
            <w:rPr>
              <w:rFonts w:hint="default" w:ascii="Times New Roman" w:hAnsi="Times New Roman" w:cs="Times New Roman"/>
              <w:color w:val="auto"/>
              <w:szCs w:val="24"/>
              <w:lang w:val="zh-CN"/>
            </w:rPr>
            <w:fldChar w:fldCharType="separate"/>
          </w:r>
          <w:r>
            <w:rPr>
              <w:rFonts w:hint="default" w:ascii="Times New Roman" w:hAnsi="Times New Roman" w:cs="Times New Roman"/>
              <w:bCs w:val="0"/>
              <w:color w:val="auto"/>
              <w:szCs w:val="24"/>
            </w:rPr>
            <w:t>附录C</w:t>
          </w:r>
          <w:r>
            <w:rPr>
              <w:rFonts w:hint="default" w:ascii="Times New Roman" w:hAnsi="Times New Roman" w:cs="Times New Roman"/>
              <w:color w:val="auto"/>
            </w:rPr>
            <w:tab/>
          </w:r>
          <w:r>
            <w:rPr>
              <w:rFonts w:hint="default" w:ascii="Times New Roman" w:hAnsi="Times New Roman" w:cs="Times New Roman"/>
              <w:color w:val="auto"/>
            </w:rPr>
            <w:fldChar w:fldCharType="begin"/>
          </w:r>
          <w:r>
            <w:rPr>
              <w:rFonts w:hint="default" w:ascii="Times New Roman" w:hAnsi="Times New Roman" w:cs="Times New Roman"/>
              <w:color w:val="auto"/>
            </w:rPr>
            <w:instrText xml:space="preserve"> PAGEREF _Toc11589 \h </w:instrText>
          </w:r>
          <w:r>
            <w:rPr>
              <w:rFonts w:hint="default" w:ascii="Times New Roman" w:hAnsi="Times New Roman" w:cs="Times New Roman"/>
              <w:color w:val="auto"/>
            </w:rPr>
            <w:fldChar w:fldCharType="separate"/>
          </w:r>
          <w:r>
            <w:rPr>
              <w:rFonts w:hint="default" w:ascii="Times New Roman" w:hAnsi="Times New Roman" w:cs="Times New Roman"/>
              <w:color w:val="auto"/>
            </w:rPr>
            <w:t>20</w:t>
          </w:r>
          <w:r>
            <w:rPr>
              <w:rFonts w:hint="default" w:ascii="Times New Roman" w:hAnsi="Times New Roman" w:cs="Times New Roman"/>
              <w:color w:val="auto"/>
            </w:rPr>
            <w:fldChar w:fldCharType="end"/>
          </w:r>
          <w:r>
            <w:rPr>
              <w:rFonts w:hint="default" w:ascii="Times New Roman" w:hAnsi="Times New Roman" w:cs="Times New Roman"/>
              <w:color w:val="auto"/>
              <w:szCs w:val="24"/>
              <w:lang w:val="zh-CN"/>
            </w:rPr>
            <w:fldChar w:fldCharType="end"/>
          </w:r>
        </w:p>
        <w:p w14:paraId="1376CBD1">
          <w:pPr>
            <w:pStyle w:val="14"/>
            <w:tabs>
              <w:tab w:val="right" w:leader="dot" w:pos="8306"/>
              <w:tab w:val="clear" w:pos="8296"/>
            </w:tabs>
            <w:rPr>
              <w:rFonts w:hint="default" w:ascii="Times New Roman" w:hAnsi="Times New Roman" w:cs="Times New Roman"/>
              <w:color w:val="auto"/>
            </w:rPr>
          </w:pPr>
          <w:r>
            <w:rPr>
              <w:rFonts w:hint="default" w:ascii="Times New Roman" w:hAnsi="Times New Roman" w:cs="Times New Roman"/>
              <w:color w:val="auto"/>
              <w:szCs w:val="24"/>
              <w:lang w:val="zh-CN"/>
            </w:rPr>
            <w:fldChar w:fldCharType="begin"/>
          </w:r>
          <w:r>
            <w:rPr>
              <w:rFonts w:hint="default" w:ascii="Times New Roman" w:hAnsi="Times New Roman" w:cs="Times New Roman"/>
              <w:color w:val="auto"/>
              <w:szCs w:val="24"/>
              <w:lang w:val="zh-CN"/>
            </w:rPr>
            <w:instrText xml:space="preserve"> HYPERLINK \l _Toc20398 </w:instrText>
          </w:r>
          <w:r>
            <w:rPr>
              <w:rFonts w:hint="default" w:ascii="Times New Roman" w:hAnsi="Times New Roman" w:cs="Times New Roman"/>
              <w:color w:val="auto"/>
              <w:szCs w:val="24"/>
              <w:lang w:val="zh-CN"/>
            </w:rPr>
            <w:fldChar w:fldCharType="separate"/>
          </w:r>
          <w:r>
            <w:rPr>
              <w:rFonts w:hint="default" w:ascii="Times New Roman" w:hAnsi="Times New Roman" w:cs="Times New Roman"/>
              <w:bCs w:val="0"/>
              <w:color w:val="auto"/>
              <w:szCs w:val="24"/>
            </w:rPr>
            <w:t>附录D</w:t>
          </w:r>
          <w:r>
            <w:rPr>
              <w:rFonts w:hint="default" w:ascii="Times New Roman" w:hAnsi="Times New Roman" w:cs="Times New Roman"/>
              <w:color w:val="auto"/>
            </w:rPr>
            <w:tab/>
          </w:r>
          <w:r>
            <w:rPr>
              <w:rFonts w:hint="default" w:ascii="Times New Roman" w:hAnsi="Times New Roman" w:cs="Times New Roman"/>
              <w:color w:val="auto"/>
            </w:rPr>
            <w:fldChar w:fldCharType="begin"/>
          </w:r>
          <w:r>
            <w:rPr>
              <w:rFonts w:hint="default" w:ascii="Times New Roman" w:hAnsi="Times New Roman" w:cs="Times New Roman"/>
              <w:color w:val="auto"/>
            </w:rPr>
            <w:instrText xml:space="preserve"> PAGEREF _Toc20398 \h </w:instrText>
          </w:r>
          <w:r>
            <w:rPr>
              <w:rFonts w:hint="default" w:ascii="Times New Roman" w:hAnsi="Times New Roman" w:cs="Times New Roman"/>
              <w:color w:val="auto"/>
            </w:rPr>
            <w:fldChar w:fldCharType="separate"/>
          </w:r>
          <w:r>
            <w:rPr>
              <w:rFonts w:hint="default" w:ascii="Times New Roman" w:hAnsi="Times New Roman" w:cs="Times New Roman"/>
              <w:color w:val="auto"/>
            </w:rPr>
            <w:t>23</w:t>
          </w:r>
          <w:r>
            <w:rPr>
              <w:rFonts w:hint="default" w:ascii="Times New Roman" w:hAnsi="Times New Roman" w:cs="Times New Roman"/>
              <w:color w:val="auto"/>
            </w:rPr>
            <w:fldChar w:fldCharType="end"/>
          </w:r>
          <w:r>
            <w:rPr>
              <w:rFonts w:hint="default" w:ascii="Times New Roman" w:hAnsi="Times New Roman" w:cs="Times New Roman"/>
              <w:color w:val="auto"/>
              <w:szCs w:val="24"/>
              <w:lang w:val="zh-CN"/>
            </w:rPr>
            <w:fldChar w:fldCharType="end"/>
          </w:r>
        </w:p>
        <w:p w14:paraId="284DA88C">
          <w:pPr>
            <w:pStyle w:val="14"/>
            <w:tabs>
              <w:tab w:val="right" w:leader="dot" w:pos="8306"/>
              <w:tab w:val="clear" w:pos="8296"/>
            </w:tabs>
            <w:rPr>
              <w:rFonts w:hint="eastAsia" w:ascii="Times New Roman" w:hAnsi="Times New Roman" w:eastAsia="宋体" w:cs="Times New Roman"/>
              <w:color w:val="auto"/>
              <w:lang w:val="en-US" w:eastAsia="zh-CN"/>
            </w:rPr>
          </w:pPr>
          <w:r>
            <w:rPr>
              <w:rFonts w:hint="default" w:ascii="Times New Roman" w:hAnsi="Times New Roman" w:cs="Times New Roman"/>
              <w:color w:val="auto"/>
              <w:szCs w:val="24"/>
              <w:lang w:val="zh-CN"/>
            </w:rPr>
            <w:fldChar w:fldCharType="end"/>
          </w:r>
          <w:r>
            <w:rPr>
              <w:rFonts w:hint="default" w:ascii="Times New Roman" w:hAnsi="Times New Roman" w:cs="Times New Roman"/>
              <w:color w:val="auto"/>
              <w:szCs w:val="24"/>
              <w:lang w:val="zh-CN"/>
            </w:rPr>
            <w:fldChar w:fldCharType="begin"/>
          </w:r>
          <w:r>
            <w:rPr>
              <w:rFonts w:hint="default" w:ascii="Times New Roman" w:hAnsi="Times New Roman" w:cs="Times New Roman"/>
              <w:color w:val="auto"/>
              <w:szCs w:val="24"/>
              <w:lang w:val="zh-CN"/>
            </w:rPr>
            <w:instrText xml:space="preserve"> HYPERLINK \l _Toc20398 </w:instrText>
          </w:r>
          <w:r>
            <w:rPr>
              <w:rFonts w:hint="default" w:ascii="Times New Roman" w:hAnsi="Times New Roman" w:cs="Times New Roman"/>
              <w:color w:val="auto"/>
              <w:szCs w:val="24"/>
              <w:lang w:val="zh-CN"/>
            </w:rPr>
            <w:fldChar w:fldCharType="separate"/>
          </w:r>
          <w:r>
            <w:rPr>
              <w:rFonts w:hint="default" w:ascii="Times New Roman" w:hAnsi="Times New Roman" w:cs="Times New Roman"/>
              <w:bCs w:val="0"/>
              <w:color w:val="auto"/>
              <w:szCs w:val="24"/>
            </w:rPr>
            <w:t>附录</w:t>
          </w:r>
          <w:r>
            <w:rPr>
              <w:rFonts w:hint="eastAsia" w:cs="Times New Roman"/>
              <w:bCs w:val="0"/>
              <w:color w:val="auto"/>
              <w:szCs w:val="24"/>
              <w:lang w:val="en-US" w:eastAsia="zh-CN"/>
            </w:rPr>
            <w:t>E</w:t>
          </w:r>
          <w:r>
            <w:rPr>
              <w:rFonts w:hint="default" w:ascii="Times New Roman" w:hAnsi="Times New Roman" w:cs="Times New Roman"/>
              <w:color w:val="auto"/>
            </w:rPr>
            <w:tab/>
          </w:r>
          <w:r>
            <w:rPr>
              <w:rFonts w:hint="default" w:ascii="Times New Roman" w:hAnsi="Times New Roman" w:cs="Times New Roman"/>
              <w:color w:val="auto"/>
            </w:rPr>
            <w:fldChar w:fldCharType="begin"/>
          </w:r>
          <w:r>
            <w:rPr>
              <w:rFonts w:hint="default" w:ascii="Times New Roman" w:hAnsi="Times New Roman" w:cs="Times New Roman"/>
              <w:color w:val="auto"/>
            </w:rPr>
            <w:instrText xml:space="preserve"> PAGEREF _Toc20398 \h </w:instrText>
          </w:r>
          <w:r>
            <w:rPr>
              <w:rFonts w:hint="default" w:ascii="Times New Roman" w:hAnsi="Times New Roman" w:cs="Times New Roman"/>
              <w:color w:val="auto"/>
            </w:rPr>
            <w:fldChar w:fldCharType="separate"/>
          </w:r>
          <w:r>
            <w:rPr>
              <w:rFonts w:hint="default" w:ascii="Times New Roman" w:hAnsi="Times New Roman" w:cs="Times New Roman"/>
              <w:color w:val="auto"/>
            </w:rPr>
            <w:t>2</w:t>
          </w:r>
          <w:r>
            <w:rPr>
              <w:rFonts w:hint="default" w:ascii="Times New Roman" w:hAnsi="Times New Roman" w:cs="Times New Roman"/>
              <w:color w:val="auto"/>
            </w:rPr>
            <w:fldChar w:fldCharType="end"/>
          </w:r>
          <w:r>
            <w:rPr>
              <w:rFonts w:hint="default" w:ascii="Times New Roman" w:hAnsi="Times New Roman" w:cs="Times New Roman"/>
              <w:color w:val="auto"/>
              <w:szCs w:val="24"/>
              <w:lang w:val="zh-CN"/>
            </w:rPr>
            <w:fldChar w:fldCharType="end"/>
          </w:r>
          <w:r>
            <w:rPr>
              <w:rFonts w:hint="eastAsia" w:cs="Times New Roman"/>
              <w:color w:val="auto"/>
              <w:szCs w:val="24"/>
              <w:lang w:val="en-US" w:eastAsia="zh-CN"/>
            </w:rPr>
            <w:t>6</w:t>
          </w:r>
        </w:p>
        <w:p w14:paraId="5237A61B">
          <w:pPr>
            <w:pStyle w:val="14"/>
            <w:ind w:left="0" w:leftChars="0"/>
            <w:rPr>
              <w:rFonts w:hint="default" w:ascii="Times New Roman" w:hAnsi="Times New Roman" w:cs="Times New Roman"/>
              <w:color w:val="auto"/>
            </w:rPr>
          </w:pPr>
        </w:p>
      </w:sdtContent>
    </w:sdt>
    <w:p w14:paraId="3BEC4AF4">
      <w:pPr>
        <w:rPr>
          <w:rFonts w:hint="default" w:ascii="Times New Roman" w:hAnsi="Times New Roman" w:cs="Times New Roman"/>
          <w:color w:val="auto"/>
          <w:sz w:val="44"/>
          <w:szCs w:val="44"/>
        </w:rPr>
      </w:pPr>
      <w:r>
        <w:rPr>
          <w:rFonts w:hint="default" w:ascii="Times New Roman" w:hAnsi="Times New Roman" w:cs="Times New Roman"/>
          <w:color w:val="auto"/>
          <w:sz w:val="44"/>
          <w:szCs w:val="44"/>
        </w:rPr>
        <w:br w:type="page"/>
      </w:r>
    </w:p>
    <w:p w14:paraId="730447C2">
      <w:pPr>
        <w:pStyle w:val="3"/>
        <w:jc w:val="center"/>
        <w:rPr>
          <w:rFonts w:hint="default" w:ascii="Times New Roman" w:hAnsi="Times New Roman" w:cs="Times New Roman"/>
          <w:bCs w:val="0"/>
          <w:color w:val="auto"/>
          <w:sz w:val="44"/>
          <w:szCs w:val="44"/>
        </w:rPr>
      </w:pPr>
      <w:bookmarkStart w:id="2" w:name="_Toc28352"/>
      <w:bookmarkStart w:id="3" w:name="_Toc17276"/>
      <w:bookmarkStart w:id="4" w:name="_Toc32700"/>
      <w:bookmarkStart w:id="5" w:name="_Toc24027"/>
      <w:r>
        <w:rPr>
          <w:rFonts w:hint="default" w:ascii="Times New Roman" w:hAnsi="Times New Roman" w:cs="Times New Roman"/>
          <w:bCs w:val="0"/>
          <w:color w:val="auto"/>
          <w:sz w:val="44"/>
          <w:szCs w:val="44"/>
        </w:rPr>
        <w:t>引 言</w:t>
      </w:r>
      <w:bookmarkEnd w:id="2"/>
      <w:bookmarkEnd w:id="3"/>
      <w:bookmarkEnd w:id="4"/>
      <w:bookmarkEnd w:id="5"/>
    </w:p>
    <w:p w14:paraId="0641C482">
      <w:pPr>
        <w:ind w:firstLine="480" w:firstLineChars="200"/>
        <w:rPr>
          <w:rFonts w:hint="default" w:ascii="Times New Roman" w:hAnsi="Times New Roman" w:cs="Times New Roman"/>
          <w:color w:val="auto"/>
          <w:szCs w:val="28"/>
        </w:rPr>
      </w:pPr>
      <w:r>
        <w:rPr>
          <w:rFonts w:hint="default" w:ascii="Times New Roman" w:hAnsi="Times New Roman" w:cs="Times New Roman"/>
          <w:color w:val="auto"/>
          <w:szCs w:val="28"/>
        </w:rPr>
        <w:t>为推进全国碳达峰碳中和计量体系建设，科学计量装配式建筑</w:t>
      </w:r>
      <w:r>
        <w:rPr>
          <w:rFonts w:hint="eastAsia" w:cs="Times New Roman"/>
          <w:color w:val="auto"/>
          <w:szCs w:val="28"/>
          <w:lang w:eastAsia="zh-CN"/>
        </w:rPr>
        <w:t>物化阶段</w:t>
      </w:r>
      <w:r>
        <w:rPr>
          <w:rFonts w:hint="default" w:ascii="Times New Roman" w:hAnsi="Times New Roman" w:cs="Times New Roman"/>
          <w:color w:val="auto"/>
          <w:szCs w:val="28"/>
        </w:rPr>
        <w:t>碳排放，依据《中华人民共和国计量法》《建立健全碳达峰碳中和标准计量体系实施方案》（国市监计量发〔2022〕92号）等有关法律、规定，结合我国温室气体排放管理要求及现状，制定本规范。</w:t>
      </w:r>
    </w:p>
    <w:p w14:paraId="241C596A">
      <w:pPr>
        <w:ind w:firstLine="480" w:firstLineChars="200"/>
        <w:rPr>
          <w:rFonts w:hint="default" w:ascii="Times New Roman" w:hAnsi="Times New Roman" w:cs="Times New Roman"/>
          <w:color w:val="auto"/>
          <w:szCs w:val="28"/>
        </w:rPr>
      </w:pPr>
      <w:r>
        <w:rPr>
          <w:rFonts w:hint="default" w:ascii="Times New Roman" w:hAnsi="Times New Roman" w:cs="Times New Roman"/>
          <w:color w:val="auto"/>
          <w:szCs w:val="28"/>
        </w:rPr>
        <w:t>本规范为首次发布。</w:t>
      </w:r>
    </w:p>
    <w:p w14:paraId="6E9EF519">
      <w:pPr>
        <w:ind w:firstLine="480" w:firstLineChars="200"/>
        <w:rPr>
          <w:rFonts w:hint="default" w:ascii="Times New Roman" w:hAnsi="Times New Roman" w:cs="Times New Roman"/>
          <w:color w:val="auto"/>
          <w:szCs w:val="28"/>
        </w:rPr>
        <w:sectPr>
          <w:footerReference r:id="rId6" w:type="default"/>
          <w:pgSz w:w="11906" w:h="16838"/>
          <w:pgMar w:top="1440" w:right="1800" w:bottom="1440" w:left="1800" w:header="851" w:footer="992" w:gutter="0"/>
          <w:pgNumType w:fmt="upperRoman" w:start="1"/>
          <w:cols w:space="425" w:num="1"/>
          <w:docGrid w:type="lines" w:linePitch="312" w:charSpace="0"/>
        </w:sectPr>
      </w:pPr>
    </w:p>
    <w:p w14:paraId="632DA5C2">
      <w:pPr>
        <w:jc w:val="center"/>
        <w:rPr>
          <w:rFonts w:hint="default" w:ascii="Times New Roman" w:hAnsi="Times New Roman" w:eastAsia="黑体" w:cs="Times New Roman"/>
          <w:color w:val="auto"/>
          <w:sz w:val="32"/>
          <w:szCs w:val="36"/>
        </w:rPr>
      </w:pPr>
      <w:r>
        <w:rPr>
          <w:rFonts w:hint="default" w:ascii="Times New Roman" w:hAnsi="Times New Roman" w:eastAsia="黑体" w:cs="Times New Roman"/>
          <w:color w:val="auto"/>
          <w:sz w:val="32"/>
          <w:szCs w:val="36"/>
        </w:rPr>
        <w:t>装配式建筑物化阶段碳排放技术要求</w:t>
      </w:r>
    </w:p>
    <w:p w14:paraId="693CF00C">
      <w:pPr>
        <w:pStyle w:val="3"/>
        <w:rPr>
          <w:rFonts w:hint="default" w:ascii="Times New Roman" w:hAnsi="Times New Roman" w:cs="Times New Roman"/>
          <w:color w:val="auto"/>
        </w:rPr>
      </w:pPr>
      <w:bookmarkStart w:id="6" w:name="_Toc391"/>
      <w:bookmarkStart w:id="7" w:name="_Toc30198"/>
      <w:bookmarkStart w:id="8" w:name="_Toc2935"/>
      <w:bookmarkStart w:id="9" w:name="_Toc7178"/>
      <w:r>
        <w:rPr>
          <w:rFonts w:hint="default" w:ascii="Times New Roman" w:hAnsi="Times New Roman" w:cs="Times New Roman"/>
          <w:color w:val="auto"/>
        </w:rPr>
        <w:t>1 范围</w:t>
      </w:r>
      <w:bookmarkEnd w:id="6"/>
      <w:bookmarkEnd w:id="7"/>
      <w:bookmarkEnd w:id="8"/>
      <w:bookmarkEnd w:id="9"/>
    </w:p>
    <w:p w14:paraId="61D1DDC4">
      <w:pPr>
        <w:ind w:firstLine="480" w:firstLineChars="200"/>
        <w:rPr>
          <w:rFonts w:hint="default" w:ascii="Times New Roman" w:hAnsi="Times New Roman" w:cs="Times New Roman"/>
          <w:color w:val="auto"/>
          <w:szCs w:val="28"/>
        </w:rPr>
      </w:pPr>
      <w:r>
        <w:rPr>
          <w:rFonts w:hint="default" w:ascii="Times New Roman" w:hAnsi="Times New Roman" w:cs="Times New Roman"/>
          <w:color w:val="auto"/>
          <w:szCs w:val="28"/>
        </w:rPr>
        <w:t>本规范规定了</w:t>
      </w:r>
      <w:r>
        <w:rPr>
          <w:rFonts w:hint="default" w:ascii="Times New Roman" w:hAnsi="Times New Roman" w:cs="Times New Roman"/>
          <w:sz w:val="24"/>
        </w:rPr>
        <w:t>采用核算法和实测法</w:t>
      </w:r>
      <w:r>
        <w:rPr>
          <w:rFonts w:hint="default" w:ascii="Times New Roman" w:hAnsi="Times New Roman" w:cs="Times New Roman"/>
          <w:sz w:val="24"/>
          <w:lang w:val="en-US" w:eastAsia="zh-CN"/>
        </w:rPr>
        <w:t>对</w:t>
      </w:r>
      <w:r>
        <w:rPr>
          <w:rFonts w:hint="default" w:ascii="Times New Roman" w:hAnsi="Times New Roman" w:cs="Times New Roman"/>
          <w:color w:val="auto"/>
          <w:szCs w:val="28"/>
        </w:rPr>
        <w:t>装配式建筑物化阶段碳排放量的计量要求。</w:t>
      </w:r>
    </w:p>
    <w:p w14:paraId="4B358723">
      <w:pPr>
        <w:ind w:firstLine="480" w:firstLineChars="200"/>
        <w:rPr>
          <w:rFonts w:hint="default" w:ascii="Times New Roman" w:hAnsi="Times New Roman" w:cs="Times New Roman"/>
          <w:color w:val="auto"/>
          <w:szCs w:val="28"/>
        </w:rPr>
      </w:pPr>
      <w:r>
        <w:rPr>
          <w:rFonts w:hint="default" w:ascii="Times New Roman" w:hAnsi="Times New Roman" w:cs="Times New Roman"/>
          <w:color w:val="auto"/>
          <w:szCs w:val="28"/>
        </w:rPr>
        <w:t>本规范明确了</w:t>
      </w:r>
      <w:r>
        <w:rPr>
          <w:rFonts w:hint="eastAsia" w:cs="Times New Roman"/>
          <w:color w:val="auto"/>
          <w:szCs w:val="28"/>
          <w:lang w:eastAsia="zh-CN"/>
        </w:rPr>
        <w:t>装配式建筑物化阶段</w:t>
      </w:r>
      <w:r>
        <w:rPr>
          <w:rFonts w:hint="default" w:ascii="Times New Roman" w:hAnsi="Times New Roman" w:cs="Times New Roman"/>
          <w:color w:val="auto"/>
          <w:szCs w:val="28"/>
        </w:rPr>
        <w:t>碳排放计量边界，适用于已投入生产构件工厂</w:t>
      </w:r>
      <w:r>
        <w:rPr>
          <w:rFonts w:hint="default" w:ascii="Times New Roman" w:hAnsi="Times New Roman" w:cs="Times New Roman"/>
          <w:color w:val="auto"/>
          <w:szCs w:val="28"/>
          <w:lang w:val="en-US" w:eastAsia="zh-CN"/>
        </w:rPr>
        <w:t>的</w:t>
      </w:r>
      <w:r>
        <w:rPr>
          <w:rFonts w:hint="eastAsia" w:cs="Times New Roman"/>
          <w:color w:val="auto"/>
          <w:szCs w:val="28"/>
          <w:lang w:val="en-US" w:eastAsia="zh-CN"/>
        </w:rPr>
        <w:t>装配式建筑物化阶段</w:t>
      </w:r>
      <w:r>
        <w:rPr>
          <w:rFonts w:hint="default" w:ascii="Times New Roman" w:hAnsi="Times New Roman" w:cs="Times New Roman"/>
          <w:color w:val="auto"/>
          <w:szCs w:val="28"/>
        </w:rPr>
        <w:t>，</w:t>
      </w:r>
      <w:r>
        <w:rPr>
          <w:rFonts w:hint="default" w:ascii="Times New Roman" w:hAnsi="Times New Roman" w:eastAsia="宋体" w:cs="Times New Roman"/>
          <w:sz w:val="24"/>
          <w:szCs w:val="28"/>
        </w:rPr>
        <w:t>由于能源和材料消耗产生碳排放的计量</w:t>
      </w:r>
      <w:r>
        <w:rPr>
          <w:rFonts w:hint="default" w:ascii="Times New Roman" w:hAnsi="Times New Roman" w:cs="Times New Roman"/>
          <w:color w:val="auto"/>
          <w:szCs w:val="28"/>
        </w:rPr>
        <w:t>。</w:t>
      </w:r>
    </w:p>
    <w:p w14:paraId="5F8E28DF">
      <w:pPr>
        <w:pStyle w:val="3"/>
        <w:rPr>
          <w:rFonts w:hint="default" w:ascii="Times New Roman" w:hAnsi="Times New Roman" w:cs="Times New Roman"/>
          <w:color w:val="auto"/>
        </w:rPr>
      </w:pPr>
      <w:bookmarkStart w:id="10" w:name="_Toc6157"/>
      <w:bookmarkStart w:id="11" w:name="_Toc15116"/>
      <w:bookmarkStart w:id="12" w:name="_Toc17784"/>
      <w:bookmarkStart w:id="13" w:name="_Toc13084"/>
      <w:r>
        <w:rPr>
          <w:rFonts w:hint="default" w:ascii="Times New Roman" w:hAnsi="Times New Roman" w:cs="Times New Roman"/>
          <w:color w:val="auto"/>
        </w:rPr>
        <w:t>2 引用文件</w:t>
      </w:r>
      <w:bookmarkEnd w:id="10"/>
      <w:bookmarkEnd w:id="11"/>
      <w:bookmarkEnd w:id="12"/>
      <w:bookmarkEnd w:id="13"/>
    </w:p>
    <w:p w14:paraId="6BC2E713">
      <w:pPr>
        <w:ind w:firstLine="480" w:firstLineChars="200"/>
        <w:rPr>
          <w:rFonts w:hint="default" w:ascii="Times New Roman" w:hAnsi="Times New Roman" w:eastAsia="宋体" w:cs="Times New Roman"/>
          <w:color w:val="auto"/>
          <w:szCs w:val="28"/>
          <w:lang w:eastAsia="zh-CN"/>
        </w:rPr>
      </w:pPr>
      <w:r>
        <w:rPr>
          <w:rFonts w:hint="default" w:ascii="Times New Roman" w:hAnsi="Times New Roman" w:cs="Times New Roman"/>
          <w:color w:val="auto"/>
          <w:szCs w:val="28"/>
        </w:rPr>
        <w:t>本规范引用了下列文件</w:t>
      </w:r>
      <w:bookmarkStart w:id="14" w:name="_Hlk155338736"/>
      <w:r>
        <w:rPr>
          <w:rFonts w:hint="default" w:ascii="Times New Roman" w:hAnsi="Times New Roman" w:cs="Times New Roman"/>
          <w:color w:val="auto"/>
          <w:szCs w:val="28"/>
          <w:lang w:eastAsia="zh-CN"/>
        </w:rPr>
        <w:t>：</w:t>
      </w:r>
    </w:p>
    <w:bookmarkEnd w:id="14"/>
    <w:p w14:paraId="4B3BB676">
      <w:pPr>
        <w:widowControl/>
        <w:ind w:firstLine="480" w:firstLineChars="200"/>
        <w:jc w:val="left"/>
        <w:rPr>
          <w:rFonts w:hint="default" w:ascii="Times New Roman" w:hAnsi="Times New Roman" w:eastAsia="宋体" w:cs="Times New Roman"/>
          <w:color w:val="auto"/>
          <w:kern w:val="0"/>
          <w:lang w:eastAsia="zh-CN"/>
        </w:rPr>
      </w:pPr>
      <w:r>
        <w:rPr>
          <w:rFonts w:hint="default" w:ascii="Times New Roman" w:hAnsi="Times New Roman" w:cs="Times New Roman"/>
          <w:color w:val="auto"/>
          <w:kern w:val="0"/>
        </w:rPr>
        <w:t>JJG</w:t>
      </w:r>
      <w:r>
        <w:rPr>
          <w:rFonts w:hint="default" w:ascii="Times New Roman" w:hAnsi="Times New Roman" w:cs="Times New Roman"/>
          <w:color w:val="auto"/>
          <w:kern w:val="0"/>
          <w:lang w:val="en-US" w:eastAsia="zh-CN"/>
        </w:rPr>
        <w:t xml:space="preserve"> </w:t>
      </w:r>
      <w:r>
        <w:rPr>
          <w:rFonts w:hint="default" w:ascii="Times New Roman" w:hAnsi="Times New Roman" w:cs="Times New Roman"/>
          <w:color w:val="auto"/>
          <w:kern w:val="0"/>
        </w:rPr>
        <w:t>195连续累计自动衡器（皮带秤）检定规程</w:t>
      </w:r>
    </w:p>
    <w:p w14:paraId="1A766428">
      <w:pPr>
        <w:widowControl/>
        <w:ind w:firstLine="480" w:firstLineChars="200"/>
        <w:jc w:val="left"/>
        <w:rPr>
          <w:rFonts w:hint="default" w:ascii="Times New Roman" w:hAnsi="Times New Roman" w:eastAsia="宋体" w:cs="Times New Roman"/>
          <w:color w:val="auto"/>
          <w:kern w:val="0"/>
          <w:lang w:eastAsia="zh-CN"/>
        </w:rPr>
      </w:pPr>
      <w:r>
        <w:rPr>
          <w:rFonts w:hint="default" w:ascii="Times New Roman" w:hAnsi="Times New Roman" w:cs="Times New Roman"/>
          <w:color w:val="auto"/>
          <w:kern w:val="0"/>
        </w:rPr>
        <w:t>JJG</w:t>
      </w:r>
      <w:r>
        <w:rPr>
          <w:rFonts w:hint="default" w:ascii="Times New Roman" w:hAnsi="Times New Roman" w:cs="Times New Roman"/>
          <w:color w:val="auto"/>
          <w:kern w:val="0"/>
          <w:lang w:val="en-US" w:eastAsia="zh-CN"/>
        </w:rPr>
        <w:t xml:space="preserve"> </w:t>
      </w:r>
      <w:r>
        <w:rPr>
          <w:rFonts w:hint="default" w:ascii="Times New Roman" w:hAnsi="Times New Roman" w:cs="Times New Roman"/>
          <w:color w:val="auto"/>
          <w:kern w:val="0"/>
        </w:rPr>
        <w:t>225热能表检定规程</w:t>
      </w:r>
    </w:p>
    <w:p w14:paraId="514ED49E">
      <w:pPr>
        <w:widowControl/>
        <w:ind w:firstLine="480" w:firstLineChars="200"/>
        <w:jc w:val="left"/>
        <w:rPr>
          <w:rFonts w:hint="default" w:ascii="Times New Roman" w:hAnsi="Times New Roman" w:eastAsia="宋体" w:cs="Times New Roman"/>
          <w:color w:val="auto"/>
          <w:kern w:val="0"/>
          <w:lang w:eastAsia="zh-CN"/>
        </w:rPr>
      </w:pPr>
      <w:r>
        <w:rPr>
          <w:rFonts w:hint="default" w:ascii="Times New Roman" w:hAnsi="Times New Roman" w:cs="Times New Roman"/>
          <w:color w:val="auto"/>
          <w:kern w:val="0"/>
        </w:rPr>
        <w:t>JJG</w:t>
      </w:r>
      <w:r>
        <w:rPr>
          <w:rFonts w:hint="default" w:ascii="Times New Roman" w:hAnsi="Times New Roman" w:cs="Times New Roman"/>
          <w:color w:val="auto"/>
          <w:kern w:val="0"/>
          <w:lang w:val="en-US" w:eastAsia="zh-CN"/>
        </w:rPr>
        <w:t xml:space="preserve"> </w:t>
      </w:r>
      <w:r>
        <w:rPr>
          <w:rFonts w:hint="default" w:ascii="Times New Roman" w:hAnsi="Times New Roman" w:cs="Times New Roman"/>
          <w:color w:val="auto"/>
          <w:kern w:val="0"/>
        </w:rPr>
        <w:t>539数字指示秤检定规程</w:t>
      </w:r>
    </w:p>
    <w:p w14:paraId="07FA603C">
      <w:pPr>
        <w:widowControl/>
        <w:ind w:firstLine="480" w:firstLineChars="200"/>
        <w:jc w:val="left"/>
        <w:rPr>
          <w:rFonts w:hint="default" w:ascii="Times New Roman" w:hAnsi="Times New Roman" w:eastAsia="宋体" w:cs="Times New Roman"/>
          <w:color w:val="auto"/>
          <w:kern w:val="0"/>
          <w:lang w:eastAsia="zh-CN"/>
        </w:rPr>
      </w:pPr>
      <w:r>
        <w:rPr>
          <w:rFonts w:hint="default" w:ascii="Times New Roman" w:hAnsi="Times New Roman" w:cs="Times New Roman"/>
          <w:color w:val="auto"/>
          <w:kern w:val="0"/>
        </w:rPr>
        <w:t>JJG</w:t>
      </w:r>
      <w:r>
        <w:rPr>
          <w:rFonts w:hint="default" w:ascii="Times New Roman" w:hAnsi="Times New Roman" w:cs="Times New Roman"/>
          <w:color w:val="auto"/>
          <w:kern w:val="0"/>
          <w:lang w:val="en-US" w:eastAsia="zh-CN"/>
        </w:rPr>
        <w:t xml:space="preserve"> </w:t>
      </w:r>
      <w:r>
        <w:rPr>
          <w:rFonts w:hint="default" w:ascii="Times New Roman" w:hAnsi="Times New Roman" w:cs="Times New Roman"/>
          <w:color w:val="auto"/>
          <w:kern w:val="0"/>
        </w:rPr>
        <w:t>596电子式交流电能表检定规程</w:t>
      </w:r>
    </w:p>
    <w:p w14:paraId="5A782D41">
      <w:pPr>
        <w:widowControl/>
        <w:ind w:firstLine="480" w:firstLineChars="200"/>
        <w:jc w:val="left"/>
        <w:rPr>
          <w:rFonts w:hint="default" w:ascii="Times New Roman" w:hAnsi="Times New Roman" w:eastAsia="宋体" w:cs="Times New Roman"/>
          <w:color w:val="auto"/>
          <w:kern w:val="0"/>
          <w:lang w:eastAsia="zh-CN"/>
        </w:rPr>
      </w:pPr>
      <w:r>
        <w:rPr>
          <w:rFonts w:hint="default" w:ascii="Times New Roman" w:hAnsi="Times New Roman" w:cs="Times New Roman"/>
          <w:color w:val="auto"/>
          <w:kern w:val="0"/>
        </w:rPr>
        <w:t>JJG</w:t>
      </w:r>
      <w:r>
        <w:rPr>
          <w:rFonts w:hint="default" w:ascii="Times New Roman" w:hAnsi="Times New Roman" w:cs="Times New Roman"/>
          <w:color w:val="auto"/>
          <w:kern w:val="0"/>
          <w:lang w:val="en-US" w:eastAsia="zh-CN"/>
        </w:rPr>
        <w:t xml:space="preserve"> </w:t>
      </w:r>
      <w:r>
        <w:rPr>
          <w:rFonts w:hint="default" w:ascii="Times New Roman" w:hAnsi="Times New Roman" w:cs="Times New Roman"/>
          <w:color w:val="auto"/>
          <w:kern w:val="0"/>
        </w:rPr>
        <w:t>640差压式流量计检定规程</w:t>
      </w:r>
    </w:p>
    <w:p w14:paraId="7A6AA3BF">
      <w:pPr>
        <w:widowControl/>
        <w:ind w:firstLine="480" w:firstLineChars="200"/>
        <w:jc w:val="left"/>
        <w:rPr>
          <w:rFonts w:hint="default" w:ascii="Times New Roman" w:hAnsi="Times New Roman" w:eastAsia="宋体" w:cs="Times New Roman"/>
          <w:color w:val="auto"/>
          <w:kern w:val="0"/>
          <w:lang w:eastAsia="zh-CN"/>
        </w:rPr>
      </w:pPr>
      <w:r>
        <w:rPr>
          <w:rFonts w:hint="default" w:ascii="Times New Roman" w:hAnsi="Times New Roman" w:cs="Times New Roman"/>
          <w:color w:val="auto"/>
          <w:kern w:val="0"/>
        </w:rPr>
        <w:t>JJG</w:t>
      </w:r>
      <w:r>
        <w:rPr>
          <w:rFonts w:hint="default" w:ascii="Times New Roman" w:hAnsi="Times New Roman" w:cs="Times New Roman"/>
          <w:color w:val="auto"/>
          <w:kern w:val="0"/>
          <w:lang w:val="en-US" w:eastAsia="zh-CN"/>
        </w:rPr>
        <w:t xml:space="preserve"> </w:t>
      </w:r>
      <w:r>
        <w:rPr>
          <w:rFonts w:hint="default" w:ascii="Times New Roman" w:hAnsi="Times New Roman" w:cs="Times New Roman"/>
          <w:color w:val="auto"/>
          <w:kern w:val="0"/>
        </w:rPr>
        <w:t>667液体容积式流量计检定规程</w:t>
      </w:r>
    </w:p>
    <w:p w14:paraId="553C812A">
      <w:pPr>
        <w:widowControl/>
        <w:ind w:firstLine="480" w:firstLineChars="200"/>
        <w:jc w:val="left"/>
        <w:rPr>
          <w:rFonts w:hint="default" w:ascii="Times New Roman" w:hAnsi="Times New Roman" w:eastAsia="宋体" w:cs="Times New Roman"/>
          <w:color w:val="auto"/>
          <w:kern w:val="0"/>
          <w:lang w:eastAsia="zh-CN"/>
        </w:rPr>
      </w:pPr>
      <w:r>
        <w:rPr>
          <w:rFonts w:hint="default" w:ascii="Times New Roman" w:hAnsi="Times New Roman" w:cs="Times New Roman"/>
          <w:color w:val="auto"/>
          <w:kern w:val="0"/>
        </w:rPr>
        <w:t>JJG</w:t>
      </w:r>
      <w:r>
        <w:rPr>
          <w:rFonts w:hint="default" w:ascii="Times New Roman" w:hAnsi="Times New Roman" w:cs="Times New Roman"/>
          <w:color w:val="auto"/>
          <w:kern w:val="0"/>
          <w:lang w:val="en-US" w:eastAsia="zh-CN"/>
        </w:rPr>
        <w:t xml:space="preserve"> </w:t>
      </w:r>
      <w:r>
        <w:rPr>
          <w:rFonts w:hint="default" w:ascii="Times New Roman" w:hAnsi="Times New Roman" w:cs="Times New Roman"/>
          <w:color w:val="auto"/>
          <w:kern w:val="0"/>
        </w:rPr>
        <w:t>1187直流标准电能表检定规程</w:t>
      </w:r>
    </w:p>
    <w:p w14:paraId="6A38E465">
      <w:pPr>
        <w:widowControl/>
        <w:ind w:firstLine="480" w:firstLineChars="200"/>
        <w:jc w:val="left"/>
        <w:rPr>
          <w:rFonts w:hint="default" w:ascii="Times New Roman" w:hAnsi="Times New Roman" w:eastAsia="宋体" w:cs="Times New Roman"/>
          <w:color w:val="auto"/>
          <w:lang w:eastAsia="zh-CN"/>
        </w:rPr>
      </w:pPr>
      <w:r>
        <w:rPr>
          <w:rFonts w:hint="default" w:ascii="Times New Roman" w:hAnsi="Times New Roman" w:cs="Times New Roman"/>
          <w:color w:val="auto"/>
        </w:rPr>
        <w:t>JJF</w:t>
      </w:r>
      <w:r>
        <w:rPr>
          <w:rFonts w:hint="default" w:ascii="Times New Roman" w:hAnsi="Times New Roman" w:cs="Times New Roman"/>
          <w:color w:val="auto"/>
          <w:lang w:val="en-US" w:eastAsia="zh-CN"/>
        </w:rPr>
        <w:t xml:space="preserve"> ××××—××××</w:t>
      </w:r>
      <w:r>
        <w:rPr>
          <w:rFonts w:hint="default" w:ascii="Times New Roman" w:hAnsi="Times New Roman" w:cs="Times New Roman"/>
          <w:color w:val="auto"/>
        </w:rPr>
        <w:t xml:space="preserve"> 碳计量名词术语及定义</w:t>
      </w:r>
    </w:p>
    <w:p w14:paraId="6AD7A337">
      <w:pPr>
        <w:widowControl/>
        <w:ind w:firstLine="480" w:firstLineChars="200"/>
        <w:jc w:val="left"/>
        <w:rPr>
          <w:rFonts w:hint="default" w:ascii="Times New Roman" w:hAnsi="Times New Roman" w:eastAsia="宋体" w:cs="Times New Roman"/>
          <w:color w:val="auto"/>
          <w:lang w:eastAsia="zh-CN"/>
        </w:rPr>
      </w:pPr>
      <w:r>
        <w:rPr>
          <w:rFonts w:hint="default" w:ascii="Times New Roman" w:hAnsi="Times New Roman" w:cs="Times New Roman"/>
          <w:color w:val="auto"/>
        </w:rPr>
        <w:t>JJF</w:t>
      </w:r>
      <w:r>
        <w:rPr>
          <w:rFonts w:hint="default" w:ascii="Times New Roman" w:hAnsi="Times New Roman" w:cs="Times New Roman"/>
          <w:color w:val="auto"/>
          <w:lang w:val="en-US" w:eastAsia="zh-CN"/>
        </w:rPr>
        <w:t xml:space="preserve"> ××××—×××× </w:t>
      </w:r>
      <w:r>
        <w:rPr>
          <w:rFonts w:hint="default" w:ascii="Times New Roman" w:hAnsi="Times New Roman" w:cs="Times New Roman"/>
          <w:color w:val="auto"/>
        </w:rPr>
        <w:t>建筑碳排放监测平台</w:t>
      </w:r>
      <w:r>
        <w:rPr>
          <w:rFonts w:hint="default" w:ascii="Times New Roman" w:hAnsi="Times New Roman" w:cs="Times New Roman"/>
          <w:bCs/>
          <w:color w:val="auto"/>
        </w:rPr>
        <w:t>计量技术要求</w:t>
      </w:r>
    </w:p>
    <w:p w14:paraId="7101F767">
      <w:pPr>
        <w:widowControl/>
        <w:ind w:firstLine="480" w:firstLineChars="200"/>
        <w:jc w:val="left"/>
        <w:rPr>
          <w:rFonts w:hint="default" w:ascii="Times New Roman" w:hAnsi="Times New Roman" w:cs="Times New Roman"/>
          <w:color w:val="auto"/>
          <w:kern w:val="0"/>
        </w:rPr>
      </w:pPr>
      <w:r>
        <w:rPr>
          <w:rFonts w:hint="default" w:ascii="Times New Roman" w:hAnsi="Times New Roman" w:cs="Times New Roman"/>
          <w:color w:val="auto"/>
          <w:kern w:val="0"/>
        </w:rPr>
        <w:t>JJF 1001</w:t>
      </w:r>
      <w:r>
        <w:rPr>
          <w:rFonts w:hint="default" w:ascii="Times New Roman" w:hAnsi="Times New Roman" w:cs="Times New Roman"/>
          <w:color w:val="auto"/>
          <w:kern w:val="0"/>
          <w:lang w:eastAsia="zh-CN"/>
        </w:rPr>
        <w:t>—</w:t>
      </w:r>
      <w:r>
        <w:rPr>
          <w:rFonts w:hint="default" w:ascii="Times New Roman" w:hAnsi="Times New Roman" w:cs="Times New Roman"/>
          <w:color w:val="auto"/>
          <w:kern w:val="0"/>
          <w:lang w:val="en-US" w:eastAsia="zh-CN"/>
        </w:rPr>
        <w:t>2011</w:t>
      </w:r>
      <w:r>
        <w:rPr>
          <w:rFonts w:hint="default" w:ascii="Times New Roman" w:hAnsi="Times New Roman" w:cs="Times New Roman"/>
          <w:color w:val="auto"/>
          <w:kern w:val="0"/>
        </w:rPr>
        <w:t xml:space="preserve"> 通用计量术语及定义</w:t>
      </w:r>
    </w:p>
    <w:p w14:paraId="4618A08A">
      <w:pPr>
        <w:widowControl/>
        <w:ind w:firstLine="480" w:firstLineChars="200"/>
        <w:jc w:val="left"/>
        <w:rPr>
          <w:rFonts w:hint="default" w:ascii="Times New Roman" w:hAnsi="Times New Roman" w:cs="Times New Roman"/>
          <w:color w:val="auto"/>
          <w:kern w:val="0"/>
        </w:rPr>
      </w:pPr>
      <w:r>
        <w:rPr>
          <w:rFonts w:hint="default" w:ascii="Times New Roman" w:hAnsi="Times New Roman" w:cs="Times New Roman"/>
          <w:color w:val="auto"/>
          <w:kern w:val="0"/>
        </w:rPr>
        <w:t>JJF 1059.1</w:t>
      </w:r>
      <w:r>
        <w:rPr>
          <w:rFonts w:hint="default" w:ascii="Times New Roman" w:hAnsi="Times New Roman" w:cs="Times New Roman"/>
          <w:color w:val="auto"/>
          <w:kern w:val="0"/>
          <w:lang w:eastAsia="zh-CN"/>
        </w:rPr>
        <w:t>—</w:t>
      </w:r>
      <w:r>
        <w:rPr>
          <w:rFonts w:hint="default" w:ascii="Times New Roman" w:hAnsi="Times New Roman" w:cs="Times New Roman"/>
          <w:color w:val="auto"/>
          <w:kern w:val="0"/>
          <w:lang w:val="en-US" w:eastAsia="zh-CN"/>
        </w:rPr>
        <w:t>2012</w:t>
      </w:r>
      <w:r>
        <w:rPr>
          <w:rFonts w:hint="default" w:ascii="Times New Roman" w:hAnsi="Times New Roman" w:cs="Times New Roman"/>
          <w:color w:val="auto"/>
          <w:kern w:val="0"/>
        </w:rPr>
        <w:t xml:space="preserve"> 测量不确定度评定与表示</w:t>
      </w:r>
    </w:p>
    <w:p w14:paraId="6CF809BB">
      <w:pPr>
        <w:widowControl/>
        <w:ind w:firstLine="480" w:firstLineChars="200"/>
        <w:jc w:val="left"/>
        <w:rPr>
          <w:rFonts w:hint="default" w:ascii="Times New Roman" w:hAnsi="Times New Roman" w:eastAsia="宋体" w:cs="Times New Roman"/>
          <w:color w:val="auto"/>
          <w:kern w:val="0"/>
          <w:lang w:val="en-US" w:eastAsia="zh-CN"/>
        </w:rPr>
      </w:pPr>
      <w:r>
        <w:rPr>
          <w:rFonts w:hint="default" w:ascii="Times New Roman" w:hAnsi="Times New Roman" w:cs="Times New Roman"/>
          <w:color w:val="auto"/>
          <w:szCs w:val="28"/>
        </w:rPr>
        <w:t>JJF</w:t>
      </w:r>
      <w:r>
        <w:rPr>
          <w:rFonts w:hint="default" w:ascii="Times New Roman" w:hAnsi="Times New Roman" w:cs="Times New Roman"/>
          <w:color w:val="auto"/>
          <w:szCs w:val="28"/>
          <w:lang w:val="en-US" w:eastAsia="zh-CN"/>
        </w:rPr>
        <w:t xml:space="preserve"> </w:t>
      </w:r>
      <w:r>
        <w:rPr>
          <w:rFonts w:hint="default" w:ascii="Times New Roman" w:hAnsi="Times New Roman" w:cs="Times New Roman"/>
          <w:color w:val="auto"/>
          <w:szCs w:val="28"/>
        </w:rPr>
        <w:t>1070</w:t>
      </w:r>
      <w:r>
        <w:rPr>
          <w:rFonts w:hint="default" w:ascii="Times New Roman" w:hAnsi="Times New Roman" w:cs="Times New Roman"/>
          <w:color w:val="auto"/>
          <w:szCs w:val="28"/>
          <w:lang w:eastAsia="zh-CN"/>
        </w:rPr>
        <w:t>—</w:t>
      </w:r>
      <w:r>
        <w:rPr>
          <w:rFonts w:hint="default" w:ascii="Times New Roman" w:hAnsi="Times New Roman" w:cs="Times New Roman"/>
          <w:color w:val="auto"/>
          <w:szCs w:val="28"/>
        </w:rPr>
        <w:t>2</w:t>
      </w:r>
      <w:r>
        <w:rPr>
          <w:rFonts w:hint="default" w:ascii="Times New Roman" w:hAnsi="Times New Roman" w:cs="Times New Roman"/>
          <w:color w:val="auto"/>
          <w:szCs w:val="28"/>
          <w:lang w:val="en-US" w:eastAsia="zh-CN"/>
        </w:rPr>
        <w:t>023 定量包装商品净含量计量检验规则</w:t>
      </w:r>
    </w:p>
    <w:p w14:paraId="73070749">
      <w:pPr>
        <w:widowControl/>
        <w:ind w:firstLine="480" w:firstLineChars="200"/>
        <w:jc w:val="left"/>
        <w:rPr>
          <w:rFonts w:hint="default" w:ascii="Times New Roman" w:hAnsi="Times New Roman" w:cs="Times New Roman"/>
          <w:color w:val="auto"/>
          <w:kern w:val="0"/>
        </w:rPr>
      </w:pPr>
      <w:r>
        <w:rPr>
          <w:rFonts w:hint="default" w:ascii="Times New Roman" w:hAnsi="Times New Roman" w:cs="Times New Roman"/>
          <w:color w:val="auto"/>
          <w:kern w:val="0"/>
        </w:rPr>
        <w:t xml:space="preserve">GB 17167 用能单位能源计量器具配备和管理通则 </w:t>
      </w:r>
    </w:p>
    <w:p w14:paraId="369E41F5">
      <w:pPr>
        <w:widowControl/>
        <w:ind w:firstLine="480" w:firstLineChars="200"/>
        <w:jc w:val="left"/>
        <w:rPr>
          <w:rFonts w:hint="default" w:ascii="Times New Roman" w:hAnsi="Times New Roman" w:cs="Times New Roman"/>
          <w:color w:val="auto"/>
          <w:kern w:val="0"/>
        </w:rPr>
      </w:pPr>
      <w:r>
        <w:rPr>
          <w:rFonts w:hint="default" w:ascii="Times New Roman" w:hAnsi="Times New Roman" w:cs="Times New Roman"/>
          <w:color w:val="auto"/>
          <w:kern w:val="0"/>
        </w:rPr>
        <w:t>GB/T 24851 建筑材料行业能源计量器具配备和管理要求</w:t>
      </w:r>
    </w:p>
    <w:p w14:paraId="7F7715D1">
      <w:pPr>
        <w:widowControl/>
        <w:ind w:firstLine="480" w:firstLineChars="200"/>
        <w:jc w:val="left"/>
        <w:rPr>
          <w:rFonts w:hint="default" w:ascii="Times New Roman" w:hAnsi="Times New Roman" w:cs="Times New Roman"/>
          <w:color w:val="auto"/>
          <w:szCs w:val="28"/>
        </w:rPr>
      </w:pPr>
      <w:r>
        <w:rPr>
          <w:rFonts w:hint="default" w:ascii="Times New Roman" w:hAnsi="Times New Roman" w:cs="Times New Roman"/>
          <w:color w:val="auto"/>
          <w:szCs w:val="28"/>
        </w:rPr>
        <w:t>GB/T 32150</w:t>
      </w:r>
      <w:r>
        <w:rPr>
          <w:rFonts w:hint="default" w:ascii="Times New Roman" w:hAnsi="Times New Roman" w:cs="Times New Roman"/>
          <w:color w:val="auto"/>
          <w:szCs w:val="28"/>
          <w:lang w:eastAsia="zh-CN"/>
        </w:rPr>
        <w:t>—</w:t>
      </w:r>
      <w:r>
        <w:rPr>
          <w:rFonts w:hint="default" w:ascii="Times New Roman" w:hAnsi="Times New Roman" w:cs="Times New Roman"/>
          <w:color w:val="auto"/>
          <w:szCs w:val="28"/>
          <w:lang w:val="en-US" w:eastAsia="zh-CN"/>
        </w:rPr>
        <w:t>2015</w:t>
      </w:r>
      <w:r>
        <w:rPr>
          <w:rFonts w:hint="default" w:ascii="Times New Roman" w:hAnsi="Times New Roman" w:cs="Times New Roman"/>
          <w:color w:val="auto"/>
          <w:szCs w:val="28"/>
        </w:rPr>
        <w:t xml:space="preserve"> 工业企业温室气体排放核算和报告通则</w:t>
      </w:r>
    </w:p>
    <w:p w14:paraId="3A24DB2A">
      <w:pPr>
        <w:ind w:firstLine="480" w:firstLineChars="200"/>
        <w:rPr>
          <w:rFonts w:hint="default" w:ascii="Times New Roman" w:hAnsi="Times New Roman" w:cs="Times New Roman"/>
          <w:color w:val="auto"/>
          <w:szCs w:val="28"/>
        </w:rPr>
      </w:pPr>
      <w:r>
        <w:rPr>
          <w:rFonts w:hint="default" w:ascii="Times New Roman" w:hAnsi="Times New Roman" w:cs="Times New Roman"/>
          <w:color w:val="auto"/>
          <w:szCs w:val="28"/>
        </w:rPr>
        <w:t>凡是注日期的引用文件，仅注日期的版本适用于本规范；凡是不注日期的引用文件，其最新版本（包括所有的修改单）适用于本规范。</w:t>
      </w:r>
    </w:p>
    <w:p w14:paraId="32F8AEEE">
      <w:pPr>
        <w:pStyle w:val="3"/>
        <w:rPr>
          <w:rFonts w:hint="default" w:ascii="Times New Roman" w:hAnsi="Times New Roman" w:cs="Times New Roman"/>
          <w:color w:val="auto"/>
        </w:rPr>
      </w:pPr>
      <w:bookmarkStart w:id="15" w:name="_Toc17297"/>
      <w:bookmarkStart w:id="16" w:name="_Toc8176"/>
      <w:bookmarkStart w:id="17" w:name="_Toc9746"/>
      <w:bookmarkStart w:id="18" w:name="_Toc13953"/>
      <w:r>
        <w:rPr>
          <w:rFonts w:hint="default" w:ascii="Times New Roman" w:hAnsi="Times New Roman" w:cs="Times New Roman"/>
          <w:color w:val="auto"/>
        </w:rPr>
        <w:t>3 术语和定义</w:t>
      </w:r>
      <w:bookmarkEnd w:id="15"/>
      <w:bookmarkEnd w:id="16"/>
      <w:bookmarkEnd w:id="17"/>
      <w:bookmarkEnd w:id="18"/>
    </w:p>
    <w:p w14:paraId="67203E68">
      <w:pPr>
        <w:widowControl/>
        <w:ind w:firstLine="480" w:firstLineChars="200"/>
        <w:jc w:val="left"/>
        <w:rPr>
          <w:rFonts w:hint="default" w:ascii="Times New Roman" w:hAnsi="Times New Roman" w:cs="Times New Roman"/>
          <w:color w:val="auto"/>
        </w:rPr>
      </w:pPr>
      <w:r>
        <w:rPr>
          <w:rFonts w:hint="default" w:ascii="Times New Roman" w:hAnsi="Times New Roman" w:cs="Times New Roman"/>
          <w:color w:val="auto"/>
        </w:rPr>
        <w:t>JJF 1001</w:t>
      </w:r>
      <w:r>
        <w:rPr>
          <w:rFonts w:hint="default" w:ascii="Times New Roman" w:hAnsi="Times New Roman" w:cs="Times New Roman"/>
          <w:color w:val="auto"/>
          <w:szCs w:val="28"/>
          <w:lang w:eastAsia="zh-CN"/>
        </w:rPr>
        <w:t>—</w:t>
      </w:r>
      <w:r>
        <w:rPr>
          <w:rFonts w:hint="default" w:ascii="Times New Roman" w:hAnsi="Times New Roman" w:cs="Times New Roman"/>
          <w:color w:val="auto"/>
          <w:lang w:val="en-US" w:eastAsia="zh-CN"/>
        </w:rPr>
        <w:t>2011</w:t>
      </w:r>
      <w:r>
        <w:rPr>
          <w:rFonts w:hint="default" w:ascii="Times New Roman" w:hAnsi="Times New Roman" w:cs="Times New Roman"/>
          <w:color w:val="auto"/>
        </w:rPr>
        <w:t>、JJF</w:t>
      </w:r>
      <w:r>
        <w:rPr>
          <w:rFonts w:hint="default" w:ascii="Times New Roman" w:hAnsi="Times New Roman" w:cs="Times New Roman"/>
          <w:color w:val="auto"/>
          <w:lang w:val="en-US" w:eastAsia="zh-CN"/>
        </w:rPr>
        <w:t xml:space="preserve"> ××××—××××</w:t>
      </w:r>
      <w:r>
        <w:rPr>
          <w:rFonts w:hint="default" w:ascii="Times New Roman" w:hAnsi="Times New Roman" w:cs="Times New Roman"/>
          <w:color w:val="auto"/>
        </w:rPr>
        <w:t>《碳计量名词术语及定义》及JJF</w:t>
      </w:r>
      <w:r>
        <w:rPr>
          <w:rFonts w:hint="default" w:ascii="Times New Roman" w:hAnsi="Times New Roman" w:cs="Times New Roman"/>
          <w:color w:val="auto"/>
          <w:lang w:val="en-US" w:eastAsia="zh-CN"/>
        </w:rPr>
        <w:t xml:space="preserve"> ××××—××××</w:t>
      </w:r>
      <w:r>
        <w:rPr>
          <w:rFonts w:hint="default" w:ascii="Times New Roman" w:hAnsi="Times New Roman" w:cs="Times New Roman"/>
          <w:color w:val="auto"/>
        </w:rPr>
        <w:t>《建筑碳排放监测平台</w:t>
      </w:r>
      <w:r>
        <w:rPr>
          <w:rFonts w:hint="default" w:ascii="Times New Roman" w:hAnsi="Times New Roman" w:cs="Times New Roman"/>
          <w:bCs/>
          <w:color w:val="auto"/>
        </w:rPr>
        <w:t>计量技术要求</w:t>
      </w:r>
      <w:r>
        <w:rPr>
          <w:rFonts w:hint="default" w:ascii="Times New Roman" w:hAnsi="Times New Roman" w:cs="Times New Roman"/>
          <w:color w:val="auto"/>
        </w:rPr>
        <w:t>》</w:t>
      </w:r>
      <w:r>
        <w:rPr>
          <w:rFonts w:hint="default" w:ascii="Times New Roman" w:hAnsi="Times New Roman" w:cs="Times New Roman"/>
          <w:color w:val="auto"/>
          <w:lang w:val="en-US" w:eastAsia="zh-CN"/>
        </w:rPr>
        <w:t>界定的以及下列术语和定义适用于本文件</w:t>
      </w:r>
      <w:r>
        <w:rPr>
          <w:rFonts w:hint="default" w:ascii="Times New Roman" w:hAnsi="Times New Roman" w:cs="Times New Roman"/>
          <w:color w:val="auto"/>
        </w:rPr>
        <w:t>。</w:t>
      </w:r>
    </w:p>
    <w:p w14:paraId="095B9DAE">
      <w:pPr>
        <w:rPr>
          <w:rFonts w:hint="default" w:ascii="Times New Roman" w:hAnsi="Times New Roman" w:cs="Times New Roman"/>
          <w:color w:val="auto"/>
          <w:szCs w:val="28"/>
        </w:rPr>
      </w:pPr>
      <w:bookmarkStart w:id="19" w:name="_Toc170831782"/>
      <w:bookmarkStart w:id="20" w:name="_Toc188025521"/>
      <w:r>
        <w:rPr>
          <w:rFonts w:hint="default" w:ascii="Times New Roman" w:hAnsi="Times New Roman" w:cs="Times New Roman"/>
          <w:color w:val="auto"/>
          <w:szCs w:val="28"/>
        </w:rPr>
        <w:t>3.1 装配式建筑构件  prefabricated building</w:t>
      </w:r>
      <w:bookmarkEnd w:id="19"/>
      <w:r>
        <w:rPr>
          <w:rFonts w:hint="default" w:ascii="Times New Roman" w:hAnsi="Times New Roman" w:cs="Times New Roman"/>
          <w:color w:val="auto"/>
          <w:szCs w:val="28"/>
        </w:rPr>
        <w:t xml:space="preserve"> </w:t>
      </w:r>
      <w:bookmarkStart w:id="21" w:name="OLE_LINK4"/>
      <w:r>
        <w:rPr>
          <w:rFonts w:hint="default" w:ascii="Times New Roman" w:hAnsi="Times New Roman" w:cs="Times New Roman"/>
          <w:color w:val="auto"/>
          <w:szCs w:val="28"/>
        </w:rPr>
        <w:t>components</w:t>
      </w:r>
      <w:bookmarkEnd w:id="20"/>
      <w:bookmarkEnd w:id="21"/>
    </w:p>
    <w:p w14:paraId="1ABCDF0D">
      <w:pPr>
        <w:ind w:firstLine="480" w:firstLineChars="200"/>
        <w:rPr>
          <w:rFonts w:hint="default" w:ascii="Times New Roman" w:hAnsi="Times New Roman" w:cs="Times New Roman"/>
          <w:color w:val="auto"/>
          <w:szCs w:val="28"/>
        </w:rPr>
      </w:pPr>
      <w:r>
        <w:rPr>
          <w:rFonts w:hint="default" w:ascii="Times New Roman" w:hAnsi="Times New Roman" w:cs="Times New Roman"/>
          <w:color w:val="auto"/>
          <w:szCs w:val="28"/>
        </w:rPr>
        <w:t>由构件工厂或</w:t>
      </w:r>
      <w:bookmarkStart w:id="22" w:name="OLE_LINK5"/>
      <w:r>
        <w:rPr>
          <w:rFonts w:hint="default" w:ascii="Times New Roman" w:hAnsi="Times New Roman" w:cs="Times New Roman"/>
          <w:color w:val="auto"/>
          <w:szCs w:val="28"/>
        </w:rPr>
        <w:t>工厂化条件</w:t>
      </w:r>
      <w:bookmarkEnd w:id="22"/>
      <w:r>
        <w:rPr>
          <w:rFonts w:hint="default" w:ascii="Times New Roman" w:hAnsi="Times New Roman" w:cs="Times New Roman"/>
          <w:color w:val="auto"/>
          <w:szCs w:val="28"/>
        </w:rPr>
        <w:t>下预制的，用于构成</w:t>
      </w:r>
      <w:r>
        <w:rPr>
          <w:rFonts w:hint="default" w:ascii="Times New Roman" w:hAnsi="Times New Roman" w:eastAsia="Google Sans Text" w:cs="Times New Roman"/>
          <w:color w:val="auto"/>
        </w:rPr>
        <w:t>装配式建筑</w:t>
      </w:r>
      <w:r>
        <w:rPr>
          <w:rFonts w:hint="default" w:ascii="Times New Roman" w:hAnsi="Times New Roman" w:cs="Times New Roman"/>
          <w:color w:val="auto"/>
          <w:szCs w:val="28"/>
        </w:rPr>
        <w:t>结构或其组成部分的构件。</w:t>
      </w:r>
    </w:p>
    <w:p w14:paraId="5AC5AA19">
      <w:pPr>
        <w:rPr>
          <w:rFonts w:hint="default" w:ascii="Times New Roman" w:hAnsi="Times New Roman" w:cs="Times New Roman"/>
          <w:color w:val="auto"/>
          <w:kern w:val="0"/>
          <w:szCs w:val="28"/>
        </w:rPr>
      </w:pPr>
      <w:bookmarkStart w:id="23" w:name="_Toc170831783"/>
      <w:bookmarkStart w:id="24" w:name="_Toc188025522"/>
      <w:r>
        <w:rPr>
          <w:rFonts w:hint="default" w:ascii="Times New Roman" w:hAnsi="Times New Roman" w:cs="Times New Roman"/>
          <w:color w:val="auto"/>
          <w:szCs w:val="28"/>
        </w:rPr>
        <w:t xml:space="preserve">3.2 物化阶段  </w:t>
      </w:r>
      <w:r>
        <w:rPr>
          <w:rFonts w:hint="default" w:ascii="Times New Roman" w:hAnsi="Times New Roman" w:cs="Times New Roman"/>
          <w:color w:val="auto"/>
          <w:kern w:val="0"/>
          <w:szCs w:val="28"/>
        </w:rPr>
        <w:t>materialization stage</w:t>
      </w:r>
      <w:bookmarkEnd w:id="23"/>
      <w:bookmarkEnd w:id="24"/>
    </w:p>
    <w:p w14:paraId="6C1B59A5">
      <w:pPr>
        <w:ind w:firstLine="480" w:firstLineChars="200"/>
        <w:rPr>
          <w:rFonts w:hint="default" w:ascii="Times New Roman" w:hAnsi="Times New Roman" w:cs="Times New Roman"/>
          <w:color w:val="auto"/>
          <w:szCs w:val="28"/>
        </w:rPr>
      </w:pPr>
      <w:r>
        <w:rPr>
          <w:rFonts w:hint="default" w:ascii="Times New Roman" w:hAnsi="Times New Roman" w:cs="Times New Roman"/>
          <w:color w:val="auto"/>
          <w:szCs w:val="28"/>
        </w:rPr>
        <w:t>将设计概念转化为具体物理实体的过程，对原材料进行加工处理，最终形成可使用的产品或结构。</w:t>
      </w:r>
    </w:p>
    <w:p w14:paraId="1A33EEB6">
      <w:pPr>
        <w:rPr>
          <w:rFonts w:hint="default" w:ascii="Times New Roman" w:hAnsi="Times New Roman" w:cs="Times New Roman"/>
          <w:color w:val="auto"/>
          <w:szCs w:val="28"/>
        </w:rPr>
      </w:pPr>
      <w:r>
        <w:rPr>
          <w:rFonts w:hint="default" w:ascii="Times New Roman" w:hAnsi="Times New Roman" w:cs="Times New Roman"/>
          <w:color w:val="auto"/>
          <w:szCs w:val="28"/>
        </w:rPr>
        <w:t>3.</w:t>
      </w:r>
      <w:r>
        <w:rPr>
          <w:rFonts w:hint="default" w:ascii="Times New Roman" w:hAnsi="Times New Roman" w:cs="Times New Roman"/>
          <w:color w:val="auto"/>
          <w:szCs w:val="28"/>
          <w:lang w:val="en-US" w:eastAsia="zh-CN"/>
        </w:rPr>
        <w:t>3</w:t>
      </w:r>
      <w:r>
        <w:rPr>
          <w:rFonts w:hint="default" w:ascii="Times New Roman" w:hAnsi="Times New Roman" w:cs="Times New Roman"/>
          <w:color w:val="auto"/>
          <w:szCs w:val="28"/>
        </w:rPr>
        <w:t xml:space="preserve"> 活动数据</w:t>
      </w:r>
      <w:r>
        <w:rPr>
          <w:rFonts w:hint="default" w:ascii="Times New Roman" w:hAnsi="Times New Roman" w:cs="Times New Roman"/>
          <w:color w:val="auto"/>
          <w:szCs w:val="28"/>
          <w:lang w:val="en-US" w:eastAsia="zh-CN"/>
        </w:rPr>
        <w:t xml:space="preserve"> </w:t>
      </w:r>
      <w:r>
        <w:rPr>
          <w:rFonts w:hint="default" w:ascii="Times New Roman" w:hAnsi="Times New Roman" w:cs="Times New Roman"/>
          <w:color w:val="auto"/>
          <w:szCs w:val="28"/>
        </w:rPr>
        <w:t xml:space="preserve"> activity data</w:t>
      </w:r>
    </w:p>
    <w:p w14:paraId="555979DB">
      <w:pPr>
        <w:ind w:firstLine="480" w:firstLineChars="200"/>
        <w:rPr>
          <w:rFonts w:hint="default" w:ascii="Times New Roman" w:hAnsi="Times New Roman" w:cs="Times New Roman"/>
          <w:color w:val="auto"/>
          <w:szCs w:val="28"/>
        </w:rPr>
      </w:pPr>
      <w:r>
        <w:rPr>
          <w:rFonts w:hint="default" w:ascii="Times New Roman" w:hAnsi="Times New Roman" w:cs="Times New Roman"/>
          <w:color w:val="auto"/>
          <w:szCs w:val="28"/>
        </w:rPr>
        <w:t>导致温室气体排放的产生或消费活动量的表征值。</w:t>
      </w:r>
    </w:p>
    <w:p w14:paraId="64A4BA2C">
      <w:pPr>
        <w:ind w:firstLine="480" w:firstLineChars="200"/>
        <w:rPr>
          <w:rFonts w:hint="default" w:ascii="Times New Roman" w:hAnsi="Times New Roman" w:cs="Times New Roman"/>
          <w:color w:val="auto"/>
          <w:szCs w:val="28"/>
        </w:rPr>
      </w:pPr>
      <w:r>
        <w:rPr>
          <w:rFonts w:hint="default" w:ascii="Times New Roman" w:hAnsi="Times New Roman" w:cs="Times New Roman"/>
          <w:color w:val="auto"/>
          <w:szCs w:val="28"/>
        </w:rPr>
        <w:t>[GB/T 32150</w:t>
      </w:r>
      <w:r>
        <w:rPr>
          <w:rFonts w:hint="default" w:ascii="Times New Roman" w:hAnsi="Times New Roman" w:cs="Times New Roman"/>
          <w:color w:val="auto"/>
          <w:szCs w:val="28"/>
          <w:lang w:eastAsia="zh-CN"/>
        </w:rPr>
        <w:t>—</w:t>
      </w:r>
      <w:r>
        <w:rPr>
          <w:rFonts w:hint="default" w:ascii="Times New Roman" w:hAnsi="Times New Roman" w:cs="Times New Roman"/>
          <w:color w:val="auto"/>
          <w:szCs w:val="28"/>
        </w:rPr>
        <w:t>2015，定义3.12]</w:t>
      </w:r>
    </w:p>
    <w:p w14:paraId="1E870E3E">
      <w:pPr>
        <w:pStyle w:val="55"/>
        <w:rPr>
          <w:rFonts w:hint="default" w:ascii="Times New Roman" w:hAnsi="Times New Roman" w:cs="Times New Roman"/>
          <w:sz w:val="21"/>
        </w:rPr>
      </w:pPr>
      <w:r>
        <w:rPr>
          <w:rFonts w:hint="default" w:ascii="Times New Roman" w:hAnsi="Times New Roman" w:cs="Times New Roman"/>
          <w:sz w:val="21"/>
        </w:rPr>
        <w:t>注：如各种化石燃料的消耗量、净购入的电量等。</w:t>
      </w:r>
    </w:p>
    <w:p w14:paraId="569D8E4A">
      <w:pPr>
        <w:rPr>
          <w:rFonts w:hint="default" w:ascii="Times New Roman" w:hAnsi="Times New Roman" w:cs="Times New Roman"/>
          <w:color w:val="auto"/>
          <w:szCs w:val="28"/>
          <w:lang w:val="en-US" w:eastAsia="zh-CN"/>
        </w:rPr>
      </w:pPr>
      <w:r>
        <w:rPr>
          <w:rFonts w:hint="default" w:ascii="Times New Roman" w:hAnsi="Times New Roman" w:cs="Times New Roman"/>
          <w:color w:val="auto"/>
          <w:szCs w:val="28"/>
          <w:lang w:val="en-US" w:eastAsia="zh-CN"/>
        </w:rPr>
        <w:t>3.4 批次  batch</w:t>
      </w:r>
    </w:p>
    <w:p w14:paraId="746DC510">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ascii="Times New Roman" w:hAnsi="Times New Roman" w:cs="Times New Roman"/>
          <w:color w:val="auto"/>
          <w:szCs w:val="28"/>
          <w:lang w:val="en-US" w:eastAsia="zh-CN"/>
        </w:rPr>
      </w:pPr>
      <w:r>
        <w:rPr>
          <w:rFonts w:hint="default" w:ascii="Times New Roman" w:hAnsi="Times New Roman" w:cs="Times New Roman"/>
          <w:color w:val="auto"/>
          <w:szCs w:val="28"/>
          <w:lang w:val="en-US" w:eastAsia="zh-CN"/>
        </w:rPr>
        <w:t>接受碳排放计量的，由同一生产者在相同生产条件下生产的一定数量的同种规格型号构件。</w:t>
      </w:r>
    </w:p>
    <w:p w14:paraId="4B7A68BC">
      <w:pPr>
        <w:ind w:firstLine="480" w:firstLineChars="200"/>
        <w:rPr>
          <w:rFonts w:hint="default" w:ascii="Times New Roman" w:hAnsi="Times New Roman" w:cs="Times New Roman"/>
          <w:color w:val="auto"/>
          <w:szCs w:val="28"/>
        </w:rPr>
      </w:pPr>
      <w:r>
        <w:rPr>
          <w:rFonts w:hint="default" w:ascii="Times New Roman" w:hAnsi="Times New Roman" w:cs="Times New Roman"/>
          <w:color w:val="auto"/>
          <w:szCs w:val="28"/>
        </w:rPr>
        <w:t>[JJF</w:t>
      </w:r>
      <w:r>
        <w:rPr>
          <w:rFonts w:hint="default" w:ascii="Times New Roman" w:hAnsi="Times New Roman" w:cs="Times New Roman"/>
          <w:color w:val="auto"/>
          <w:szCs w:val="28"/>
          <w:lang w:val="en-US" w:eastAsia="zh-CN"/>
        </w:rPr>
        <w:t xml:space="preserve"> </w:t>
      </w:r>
      <w:r>
        <w:rPr>
          <w:rFonts w:hint="default" w:ascii="Times New Roman" w:hAnsi="Times New Roman" w:cs="Times New Roman"/>
          <w:color w:val="auto"/>
          <w:szCs w:val="28"/>
        </w:rPr>
        <w:t>1070</w:t>
      </w:r>
      <w:r>
        <w:rPr>
          <w:rFonts w:hint="default" w:ascii="Times New Roman" w:hAnsi="Times New Roman" w:cs="Times New Roman"/>
          <w:color w:val="auto"/>
          <w:szCs w:val="28"/>
          <w:lang w:eastAsia="zh-CN"/>
        </w:rPr>
        <w:t>—</w:t>
      </w:r>
      <w:r>
        <w:rPr>
          <w:rFonts w:hint="default" w:ascii="Times New Roman" w:hAnsi="Times New Roman" w:cs="Times New Roman"/>
          <w:color w:val="auto"/>
          <w:szCs w:val="28"/>
        </w:rPr>
        <w:t>20</w:t>
      </w:r>
      <w:r>
        <w:rPr>
          <w:rFonts w:hint="default" w:ascii="Times New Roman" w:hAnsi="Times New Roman" w:cs="Times New Roman"/>
          <w:color w:val="auto"/>
          <w:szCs w:val="28"/>
          <w:lang w:val="en-US" w:eastAsia="zh-CN"/>
        </w:rPr>
        <w:t>23</w:t>
      </w:r>
      <w:r>
        <w:rPr>
          <w:rFonts w:hint="default" w:ascii="Times New Roman" w:hAnsi="Times New Roman" w:cs="Times New Roman"/>
          <w:color w:val="auto"/>
          <w:szCs w:val="28"/>
        </w:rPr>
        <w:t>，定义3.1</w:t>
      </w:r>
      <w:r>
        <w:rPr>
          <w:rFonts w:hint="default" w:ascii="Times New Roman" w:hAnsi="Times New Roman" w:cs="Times New Roman"/>
          <w:color w:val="auto"/>
          <w:szCs w:val="28"/>
          <w:lang w:val="en-US" w:eastAsia="zh-CN"/>
        </w:rPr>
        <w:t>.12，有修改</w:t>
      </w:r>
      <w:r>
        <w:rPr>
          <w:rFonts w:hint="default" w:ascii="Times New Roman" w:hAnsi="Times New Roman" w:cs="Times New Roman"/>
          <w:color w:val="auto"/>
          <w:szCs w:val="28"/>
        </w:rPr>
        <w:t>]</w:t>
      </w:r>
    </w:p>
    <w:p w14:paraId="5ACCF1FE">
      <w:pPr>
        <w:rPr>
          <w:rFonts w:hint="default" w:ascii="Times New Roman" w:hAnsi="Times New Roman" w:cs="Times New Roman"/>
          <w:color w:val="auto"/>
          <w:szCs w:val="28"/>
          <w:lang w:val="en-US" w:eastAsia="zh-CN"/>
        </w:rPr>
      </w:pPr>
      <w:bookmarkStart w:id="25" w:name="_Toc8773"/>
      <w:bookmarkStart w:id="26" w:name="_Toc19222"/>
      <w:bookmarkStart w:id="27" w:name="_Toc25267"/>
      <w:bookmarkStart w:id="28" w:name="_Toc2163"/>
      <w:r>
        <w:rPr>
          <w:rFonts w:hint="default" w:ascii="Times New Roman" w:hAnsi="Times New Roman" w:cs="Times New Roman"/>
          <w:color w:val="auto"/>
          <w:szCs w:val="28"/>
          <w:lang w:val="en-US" w:eastAsia="zh-CN"/>
        </w:rPr>
        <w:t>3.5 活动数据 activity data</w:t>
      </w:r>
    </w:p>
    <w:p w14:paraId="06B54616">
      <w:pPr>
        <w:pStyle w:val="56"/>
        <w:spacing w:line="440" w:lineRule="exact"/>
        <w:rPr>
          <w:rFonts w:hint="default" w:ascii="Times New Roman" w:hAnsi="Times New Roman" w:cs="Times New Roman"/>
        </w:rPr>
      </w:pPr>
      <w:r>
        <w:rPr>
          <w:rFonts w:hint="default" w:ascii="Times New Roman" w:hAnsi="Times New Roman" w:cs="Times New Roman"/>
        </w:rPr>
        <w:t>导致温室气体排放的产生或消费活动量的表征值。</w:t>
      </w:r>
    </w:p>
    <w:p w14:paraId="738364A0">
      <w:pPr>
        <w:pStyle w:val="56"/>
        <w:spacing w:line="440" w:lineRule="exact"/>
        <w:rPr>
          <w:rFonts w:hint="default" w:ascii="Times New Roman" w:hAnsi="Times New Roman" w:cs="Times New Roman"/>
        </w:rPr>
      </w:pPr>
      <w:r>
        <w:rPr>
          <w:rFonts w:hint="default" w:ascii="Times New Roman" w:hAnsi="Times New Roman" w:cs="Times New Roman"/>
        </w:rPr>
        <w:t>[GB/T 32150-2015，定义3.12]</w:t>
      </w:r>
    </w:p>
    <w:p w14:paraId="7BECC964">
      <w:pPr>
        <w:pStyle w:val="55"/>
        <w:rPr>
          <w:rFonts w:hint="default" w:ascii="Times New Roman" w:hAnsi="Times New Roman" w:cs="Times New Roman"/>
          <w:sz w:val="21"/>
        </w:rPr>
      </w:pPr>
      <w:r>
        <w:rPr>
          <w:rFonts w:hint="default" w:ascii="Times New Roman" w:hAnsi="Times New Roman" w:cs="Times New Roman"/>
          <w:sz w:val="21"/>
        </w:rPr>
        <w:t>注：例如各种化石燃料的消耗量和购入的电量等。</w:t>
      </w:r>
    </w:p>
    <w:p w14:paraId="6624AD0C">
      <w:pPr>
        <w:rPr>
          <w:rFonts w:hint="default" w:ascii="Times New Roman" w:hAnsi="Times New Roman" w:cs="Times New Roman"/>
          <w:color w:val="auto"/>
          <w:szCs w:val="28"/>
          <w:lang w:val="en-US" w:eastAsia="zh-CN"/>
        </w:rPr>
      </w:pPr>
      <w:r>
        <w:rPr>
          <w:rFonts w:hint="default" w:ascii="Times New Roman" w:hAnsi="Times New Roman" w:cs="Times New Roman"/>
          <w:color w:val="auto"/>
          <w:szCs w:val="28"/>
          <w:lang w:val="en-US" w:eastAsia="zh-CN"/>
        </w:rPr>
        <w:t>3.6 排放因子 emission factor</w:t>
      </w:r>
    </w:p>
    <w:p w14:paraId="64D24E63">
      <w:pPr>
        <w:pStyle w:val="56"/>
        <w:spacing w:line="440" w:lineRule="exact"/>
        <w:rPr>
          <w:rFonts w:hint="default" w:ascii="Times New Roman" w:hAnsi="Times New Roman" w:cs="Times New Roman"/>
        </w:rPr>
      </w:pPr>
      <w:r>
        <w:rPr>
          <w:rFonts w:hint="default" w:ascii="Times New Roman" w:hAnsi="Times New Roman" w:cs="Times New Roman"/>
        </w:rPr>
        <w:t>表征单位生产或消费活动量的碳排放的系数。</w:t>
      </w:r>
    </w:p>
    <w:p w14:paraId="43F20B3F">
      <w:pPr>
        <w:pStyle w:val="56"/>
        <w:spacing w:line="440" w:lineRule="exact"/>
        <w:rPr>
          <w:rFonts w:hint="default" w:ascii="Times New Roman" w:hAnsi="Times New Roman" w:cs="Times New Roman"/>
        </w:rPr>
      </w:pPr>
      <w:r>
        <w:rPr>
          <w:rFonts w:hint="default" w:ascii="Times New Roman" w:hAnsi="Times New Roman" w:cs="Times New Roman"/>
        </w:rPr>
        <w:t>[GB/T 32150</w:t>
      </w:r>
      <w:r>
        <w:rPr>
          <w:rFonts w:hint="default" w:ascii="Times New Roman" w:hAnsi="Times New Roman" w:cs="Times New Roman"/>
          <w:lang w:eastAsia="zh-CN"/>
        </w:rPr>
        <w:t>—</w:t>
      </w:r>
      <w:r>
        <w:rPr>
          <w:rFonts w:hint="default" w:ascii="Times New Roman" w:hAnsi="Times New Roman" w:cs="Times New Roman"/>
        </w:rPr>
        <w:t>2015，定义3.13]</w:t>
      </w:r>
    </w:p>
    <w:p w14:paraId="7D38F971">
      <w:pPr>
        <w:pStyle w:val="55"/>
        <w:rPr>
          <w:rFonts w:hint="default" w:ascii="Times New Roman" w:hAnsi="Times New Roman" w:cs="Times New Roman"/>
          <w:sz w:val="21"/>
        </w:rPr>
      </w:pPr>
      <w:r>
        <w:rPr>
          <w:rFonts w:hint="default" w:ascii="Times New Roman" w:hAnsi="Times New Roman" w:cs="Times New Roman"/>
          <w:sz w:val="21"/>
        </w:rPr>
        <w:t>注：例如每单位化石燃料消耗所对应的二氧化碳排放量、购入的每千瓦时电量所对应的二氧化碳排放量等。</w:t>
      </w:r>
    </w:p>
    <w:p w14:paraId="5821A172">
      <w:pPr>
        <w:spacing w:line="360" w:lineRule="auto"/>
        <w:rPr>
          <w:rFonts w:hint="default" w:ascii="Times New Roman" w:hAnsi="Times New Roman" w:eastAsia="宋体" w:cs="Times New Roman"/>
          <w:sz w:val="24"/>
          <w:szCs w:val="28"/>
        </w:rPr>
      </w:pPr>
      <w:r>
        <w:rPr>
          <w:rFonts w:hint="default" w:ascii="Times New Roman" w:hAnsi="Times New Roman" w:eastAsia="宋体" w:cs="Times New Roman"/>
          <w:sz w:val="24"/>
          <w:szCs w:val="28"/>
        </w:rPr>
        <w:t>3.</w:t>
      </w:r>
      <w:r>
        <w:rPr>
          <w:rFonts w:hint="default" w:ascii="Times New Roman" w:hAnsi="Times New Roman" w:cs="Times New Roman"/>
          <w:sz w:val="24"/>
          <w:szCs w:val="28"/>
          <w:lang w:val="en-US" w:eastAsia="zh-CN"/>
        </w:rPr>
        <w:t>8</w:t>
      </w:r>
      <w:r>
        <w:rPr>
          <w:rFonts w:hint="default" w:ascii="Times New Roman" w:hAnsi="Times New Roman" w:eastAsia="宋体" w:cs="Times New Roman"/>
          <w:sz w:val="24"/>
          <w:szCs w:val="28"/>
        </w:rPr>
        <w:t xml:space="preserve"> 源流 source stream</w:t>
      </w:r>
    </w:p>
    <w:p w14:paraId="0B6FCE64">
      <w:pPr>
        <w:spacing w:line="360" w:lineRule="auto"/>
        <w:ind w:firstLine="480" w:firstLineChars="200"/>
        <w:rPr>
          <w:rFonts w:hint="default" w:ascii="Times New Roman" w:hAnsi="Times New Roman" w:eastAsia="宋体" w:cs="Times New Roman"/>
          <w:sz w:val="24"/>
          <w:szCs w:val="28"/>
        </w:rPr>
      </w:pPr>
      <w:r>
        <w:rPr>
          <w:rFonts w:hint="default" w:ascii="Times New Roman" w:hAnsi="Times New Roman" w:eastAsia="宋体" w:cs="Times New Roman"/>
          <w:sz w:val="24"/>
          <w:szCs w:val="28"/>
        </w:rPr>
        <w:t>由于其消耗或生产而在一个或多个排放源产生相关温室气体排放的特定燃料类型、原材料或产品。</w:t>
      </w:r>
    </w:p>
    <w:p w14:paraId="0E0852E1">
      <w:pPr>
        <w:rPr>
          <w:rFonts w:hint="default" w:ascii="Times New Roman" w:hAnsi="Times New Roman" w:cs="Times New Roman"/>
          <w:color w:val="auto"/>
          <w:szCs w:val="28"/>
          <w:lang w:val="en-US" w:eastAsia="zh-CN"/>
        </w:rPr>
      </w:pPr>
      <w:r>
        <w:rPr>
          <w:rFonts w:hint="default" w:ascii="Times New Roman" w:hAnsi="Times New Roman" w:cs="Times New Roman"/>
          <w:color w:val="auto"/>
          <w:szCs w:val="28"/>
          <w:lang w:val="en-US" w:eastAsia="zh-CN"/>
        </w:rPr>
        <w:t>3.9 碳氧化率 carbon oxidation rate</w:t>
      </w:r>
    </w:p>
    <w:p w14:paraId="64CC4C33">
      <w:pPr>
        <w:pStyle w:val="56"/>
        <w:spacing w:line="440" w:lineRule="exact"/>
        <w:rPr>
          <w:rFonts w:hint="default" w:ascii="Times New Roman" w:hAnsi="Times New Roman" w:cs="Times New Roman"/>
        </w:rPr>
      </w:pPr>
      <w:r>
        <w:rPr>
          <w:rFonts w:hint="default" w:ascii="Times New Roman" w:hAnsi="Times New Roman" w:cs="Times New Roman"/>
        </w:rPr>
        <w:t>燃料中的碳在燃烧过程中被完全氧化的百分比。</w:t>
      </w:r>
    </w:p>
    <w:p w14:paraId="7067A1F4">
      <w:pPr>
        <w:pStyle w:val="56"/>
        <w:spacing w:line="440" w:lineRule="exact"/>
        <w:rPr>
          <w:rFonts w:hint="default" w:ascii="Times New Roman" w:hAnsi="Times New Roman" w:cs="Times New Roman"/>
        </w:rPr>
      </w:pPr>
      <w:r>
        <w:rPr>
          <w:rFonts w:hint="default" w:ascii="Times New Roman" w:hAnsi="Times New Roman" w:cs="Times New Roman"/>
        </w:rPr>
        <w:t>[GB/T 32150</w:t>
      </w:r>
      <w:r>
        <w:rPr>
          <w:rFonts w:hint="default" w:ascii="Times New Roman" w:hAnsi="Times New Roman" w:cs="Times New Roman"/>
          <w:lang w:eastAsia="zh-CN"/>
        </w:rPr>
        <w:t>—</w:t>
      </w:r>
      <w:r>
        <w:rPr>
          <w:rFonts w:hint="default" w:ascii="Times New Roman" w:hAnsi="Times New Roman" w:cs="Times New Roman"/>
        </w:rPr>
        <w:t>2015，定义3.14]</w:t>
      </w:r>
    </w:p>
    <w:p w14:paraId="531EA93F">
      <w:pPr>
        <w:rPr>
          <w:rFonts w:hint="default" w:ascii="Times New Roman" w:hAnsi="Times New Roman" w:cs="Times New Roman"/>
          <w:color w:val="auto"/>
          <w:szCs w:val="28"/>
          <w:lang w:val="en-US" w:eastAsia="zh-CN"/>
        </w:rPr>
      </w:pPr>
      <w:r>
        <w:rPr>
          <w:rFonts w:hint="default" w:ascii="Times New Roman" w:hAnsi="Times New Roman" w:cs="Times New Roman"/>
          <w:color w:val="auto"/>
          <w:szCs w:val="28"/>
          <w:lang w:val="en-US" w:eastAsia="zh-CN"/>
        </w:rPr>
        <w:t>3.10 燃料燃烧排放 fuel combustion emission</w:t>
      </w:r>
    </w:p>
    <w:p w14:paraId="2DD4071B">
      <w:pPr>
        <w:pStyle w:val="56"/>
        <w:spacing w:line="440" w:lineRule="exact"/>
        <w:rPr>
          <w:rFonts w:hint="default" w:ascii="Times New Roman" w:hAnsi="Times New Roman" w:cs="Times New Roman"/>
        </w:rPr>
      </w:pPr>
      <w:r>
        <w:rPr>
          <w:rFonts w:hint="default" w:ascii="Times New Roman" w:hAnsi="Times New Roman" w:cs="Times New Roman"/>
        </w:rPr>
        <w:t>燃料在氧化燃烧过程中产生的碳排放。</w:t>
      </w:r>
    </w:p>
    <w:p w14:paraId="5019F4C4">
      <w:pPr>
        <w:pStyle w:val="56"/>
        <w:spacing w:line="440" w:lineRule="exact"/>
        <w:rPr>
          <w:rFonts w:hint="default" w:ascii="Times New Roman" w:hAnsi="Times New Roman" w:cs="Times New Roman"/>
        </w:rPr>
      </w:pPr>
      <w:r>
        <w:rPr>
          <w:rFonts w:hint="default" w:ascii="Times New Roman" w:hAnsi="Times New Roman" w:cs="Times New Roman"/>
        </w:rPr>
        <w:t>[GB/T 32150</w:t>
      </w:r>
      <w:r>
        <w:rPr>
          <w:rFonts w:hint="default" w:ascii="Times New Roman" w:hAnsi="Times New Roman" w:cs="Times New Roman"/>
          <w:lang w:eastAsia="zh-CN"/>
        </w:rPr>
        <w:t>—</w:t>
      </w:r>
      <w:r>
        <w:rPr>
          <w:rFonts w:hint="default" w:ascii="Times New Roman" w:hAnsi="Times New Roman" w:cs="Times New Roman"/>
        </w:rPr>
        <w:t>2015，定义3.7]</w:t>
      </w:r>
    </w:p>
    <w:p w14:paraId="3C9CD927">
      <w:pPr>
        <w:rPr>
          <w:rFonts w:hint="default" w:ascii="Times New Roman" w:hAnsi="Times New Roman" w:cs="Times New Roman"/>
          <w:color w:val="auto"/>
          <w:szCs w:val="28"/>
          <w:lang w:val="en-US" w:eastAsia="zh-CN"/>
        </w:rPr>
      </w:pPr>
      <w:r>
        <w:rPr>
          <w:rFonts w:hint="default" w:ascii="Times New Roman" w:hAnsi="Times New Roman" w:cs="Times New Roman"/>
          <w:color w:val="auto"/>
          <w:szCs w:val="28"/>
          <w:lang w:val="en-US" w:eastAsia="zh-CN"/>
        </w:rPr>
        <w:t>3.11 过程排放 process emission</w:t>
      </w:r>
    </w:p>
    <w:p w14:paraId="0FD964F3">
      <w:pPr>
        <w:pStyle w:val="56"/>
        <w:spacing w:line="440" w:lineRule="exact"/>
        <w:rPr>
          <w:rFonts w:hint="default" w:ascii="Times New Roman" w:hAnsi="Times New Roman" w:cs="Times New Roman"/>
        </w:rPr>
      </w:pPr>
      <w:r>
        <w:rPr>
          <w:rFonts w:hint="default" w:ascii="Times New Roman" w:hAnsi="Times New Roman" w:cs="Times New Roman"/>
        </w:rPr>
        <w:t>在生产、废弃物处理处置等过程中除燃料燃烧之外的物理或化学变化造成的碳排放。</w:t>
      </w:r>
    </w:p>
    <w:p w14:paraId="3994D4E2">
      <w:pPr>
        <w:pStyle w:val="56"/>
        <w:spacing w:line="440" w:lineRule="exact"/>
        <w:rPr>
          <w:rFonts w:hint="default" w:ascii="Times New Roman" w:hAnsi="Times New Roman" w:cs="Times New Roman"/>
        </w:rPr>
      </w:pPr>
      <w:r>
        <w:rPr>
          <w:rFonts w:hint="default" w:ascii="Times New Roman" w:hAnsi="Times New Roman" w:cs="Times New Roman"/>
        </w:rPr>
        <w:t>[GB/T 32150</w:t>
      </w:r>
      <w:r>
        <w:rPr>
          <w:rFonts w:hint="default" w:ascii="Times New Roman" w:hAnsi="Times New Roman" w:cs="Times New Roman"/>
          <w:lang w:eastAsia="zh-CN"/>
        </w:rPr>
        <w:t>—</w:t>
      </w:r>
      <w:r>
        <w:rPr>
          <w:rFonts w:hint="default" w:ascii="Times New Roman" w:hAnsi="Times New Roman" w:cs="Times New Roman"/>
        </w:rPr>
        <w:t>2015，定义3.8]</w:t>
      </w:r>
    </w:p>
    <w:p w14:paraId="767E3A54">
      <w:pPr>
        <w:rPr>
          <w:rFonts w:hint="default" w:ascii="Times New Roman" w:hAnsi="Times New Roman" w:cs="Times New Roman"/>
          <w:color w:val="auto"/>
          <w:szCs w:val="28"/>
          <w:lang w:val="en-US" w:eastAsia="zh-CN"/>
        </w:rPr>
      </w:pPr>
      <w:r>
        <w:rPr>
          <w:rFonts w:hint="default" w:ascii="Times New Roman" w:hAnsi="Times New Roman" w:cs="Times New Roman"/>
          <w:color w:val="auto"/>
          <w:szCs w:val="28"/>
          <w:lang w:val="en-US" w:eastAsia="zh-CN"/>
        </w:rPr>
        <w:t>3.12 购入电力、热力产生的排放 emission from purchased electricity and heat</w:t>
      </w:r>
    </w:p>
    <w:p w14:paraId="2F140132">
      <w:pPr>
        <w:pStyle w:val="56"/>
        <w:spacing w:line="440" w:lineRule="exact"/>
        <w:rPr>
          <w:rFonts w:hint="default" w:ascii="Times New Roman" w:hAnsi="Times New Roman" w:cs="Times New Roman"/>
        </w:rPr>
      </w:pPr>
      <w:r>
        <w:rPr>
          <w:rFonts w:hint="eastAsia" w:cs="Times New Roman"/>
          <w:lang w:val="en-US" w:eastAsia="zh-CN"/>
        </w:rPr>
        <w:t>装配式建筑物化阶段</w:t>
      </w:r>
      <w:r>
        <w:rPr>
          <w:rFonts w:hint="default" w:ascii="Times New Roman" w:hAnsi="Times New Roman" w:cs="Times New Roman"/>
        </w:rPr>
        <w:t>消费的购入电力、热力所对应的电力、热力生产环节产生的碳排放。</w:t>
      </w:r>
    </w:p>
    <w:p w14:paraId="4E3A7835">
      <w:pPr>
        <w:pStyle w:val="56"/>
        <w:spacing w:line="440" w:lineRule="exact"/>
        <w:rPr>
          <w:rFonts w:hint="default" w:ascii="Times New Roman" w:hAnsi="Times New Roman" w:cs="Times New Roman"/>
        </w:rPr>
      </w:pPr>
      <w:r>
        <w:rPr>
          <w:rFonts w:hint="default" w:ascii="Times New Roman" w:hAnsi="Times New Roman" w:cs="Times New Roman"/>
        </w:rPr>
        <w:t>[GB/T 32150</w:t>
      </w:r>
      <w:r>
        <w:rPr>
          <w:rFonts w:hint="default" w:ascii="Times New Roman" w:hAnsi="Times New Roman" w:cs="Times New Roman"/>
          <w:lang w:eastAsia="zh-CN"/>
        </w:rPr>
        <w:t>—</w:t>
      </w:r>
      <w:r>
        <w:rPr>
          <w:rFonts w:hint="default" w:ascii="Times New Roman" w:hAnsi="Times New Roman" w:cs="Times New Roman"/>
        </w:rPr>
        <w:t>2015，定义3.9</w:t>
      </w:r>
      <w:r>
        <w:rPr>
          <w:rFonts w:hint="default" w:ascii="Times New Roman" w:hAnsi="Times New Roman" w:cs="Times New Roman"/>
          <w:lang w:eastAsia="zh-CN"/>
        </w:rPr>
        <w:t>，</w:t>
      </w:r>
      <w:r>
        <w:rPr>
          <w:rFonts w:hint="default" w:ascii="Times New Roman" w:hAnsi="Times New Roman" w:cs="Times New Roman"/>
          <w:lang w:val="en-US" w:eastAsia="zh-CN"/>
        </w:rPr>
        <w:t>有修改</w:t>
      </w:r>
      <w:r>
        <w:rPr>
          <w:rFonts w:hint="default" w:ascii="Times New Roman" w:hAnsi="Times New Roman" w:cs="Times New Roman"/>
        </w:rPr>
        <w:t>]</w:t>
      </w:r>
    </w:p>
    <w:p w14:paraId="7F0962EE">
      <w:pPr>
        <w:pStyle w:val="55"/>
        <w:rPr>
          <w:rFonts w:hint="default" w:ascii="Times New Roman" w:hAnsi="Times New Roman" w:cs="Times New Roman"/>
          <w:sz w:val="21"/>
        </w:rPr>
      </w:pPr>
      <w:r>
        <w:rPr>
          <w:rFonts w:hint="default" w:ascii="Times New Roman" w:hAnsi="Times New Roman" w:cs="Times New Roman"/>
          <w:sz w:val="21"/>
        </w:rPr>
        <w:t>注:热力包括蒸汽、热水等。</w:t>
      </w:r>
    </w:p>
    <w:p w14:paraId="3BF980F0">
      <w:pPr>
        <w:pStyle w:val="3"/>
        <w:rPr>
          <w:rFonts w:hint="default" w:ascii="Times New Roman" w:hAnsi="Times New Roman" w:cs="Times New Roman"/>
          <w:color w:val="auto"/>
        </w:rPr>
      </w:pPr>
      <w:r>
        <w:rPr>
          <w:rFonts w:hint="default" w:ascii="Times New Roman" w:hAnsi="Times New Roman" w:cs="Times New Roman"/>
          <w:color w:val="auto"/>
        </w:rPr>
        <w:t>4 概述</w:t>
      </w:r>
      <w:bookmarkEnd w:id="25"/>
      <w:bookmarkEnd w:id="26"/>
      <w:bookmarkEnd w:id="27"/>
      <w:bookmarkEnd w:id="28"/>
    </w:p>
    <w:p w14:paraId="6DD438F9">
      <w:pPr>
        <w:pStyle w:val="4"/>
        <w:rPr>
          <w:rFonts w:hint="default" w:ascii="Times New Roman" w:hAnsi="Times New Roman" w:cs="Times New Roman"/>
          <w:color w:val="auto"/>
        </w:rPr>
      </w:pPr>
      <w:bookmarkStart w:id="29" w:name="_Toc12951"/>
      <w:bookmarkStart w:id="30" w:name="_Toc4973"/>
      <w:bookmarkStart w:id="31" w:name="_Toc3666"/>
      <w:bookmarkStart w:id="32" w:name="_Toc11011"/>
      <w:r>
        <w:rPr>
          <w:rFonts w:hint="default" w:ascii="Times New Roman" w:hAnsi="Times New Roman" w:cs="Times New Roman"/>
          <w:color w:val="auto"/>
        </w:rPr>
        <w:t>4.1 计量对象</w:t>
      </w:r>
      <w:bookmarkEnd w:id="29"/>
      <w:bookmarkEnd w:id="30"/>
      <w:bookmarkEnd w:id="31"/>
      <w:bookmarkEnd w:id="32"/>
    </w:p>
    <w:p w14:paraId="019A94BC">
      <w:pPr>
        <w:ind w:firstLine="480" w:firstLineChars="200"/>
        <w:rPr>
          <w:rFonts w:hint="default" w:ascii="Times New Roman" w:hAnsi="Times New Roman" w:cs="Times New Roman"/>
          <w:color w:val="auto"/>
          <w:szCs w:val="28"/>
        </w:rPr>
      </w:pPr>
      <w:r>
        <w:rPr>
          <w:rFonts w:hint="default" w:ascii="Times New Roman" w:hAnsi="Times New Roman" w:cs="Times New Roman"/>
          <w:color w:val="auto"/>
          <w:szCs w:val="28"/>
        </w:rPr>
        <w:t>计量对象为</w:t>
      </w:r>
      <w:r>
        <w:rPr>
          <w:rFonts w:hint="eastAsia" w:cs="Times New Roman"/>
          <w:color w:val="auto"/>
          <w:szCs w:val="28"/>
          <w:lang w:val="en-US" w:eastAsia="zh-CN"/>
        </w:rPr>
        <w:t>特定批次</w:t>
      </w:r>
      <w:r>
        <w:rPr>
          <w:rFonts w:hint="default" w:ascii="Times New Roman" w:hAnsi="Times New Roman" w:cs="Times New Roman"/>
          <w:color w:val="auto"/>
          <w:szCs w:val="28"/>
        </w:rPr>
        <w:t>装配式建筑构件</w:t>
      </w:r>
      <w:r>
        <w:rPr>
          <w:rFonts w:hint="eastAsia" w:cs="Times New Roman"/>
          <w:color w:val="auto"/>
          <w:szCs w:val="28"/>
          <w:lang w:val="en-US" w:eastAsia="zh-CN"/>
        </w:rPr>
        <w:t>物化阶段</w:t>
      </w:r>
      <w:r>
        <w:rPr>
          <w:rFonts w:hint="default" w:ascii="Times New Roman" w:hAnsi="Times New Roman" w:cs="Times New Roman"/>
          <w:color w:val="auto"/>
          <w:szCs w:val="28"/>
          <w:lang w:val="en-US" w:eastAsia="zh-CN"/>
        </w:rPr>
        <w:t>产生的碳排放量，</w:t>
      </w:r>
      <w:r>
        <w:rPr>
          <w:rFonts w:hint="default" w:ascii="Times New Roman" w:hAnsi="Times New Roman" w:cs="Times New Roman"/>
          <w:color w:val="auto"/>
          <w:szCs w:val="28"/>
        </w:rPr>
        <w:t>碳排放量由碳排放源的活动数据及其对应的</w:t>
      </w:r>
      <w:r>
        <w:rPr>
          <w:rFonts w:hint="eastAsia" w:cs="Times New Roman"/>
          <w:color w:val="auto"/>
          <w:szCs w:val="28"/>
          <w:lang w:eastAsia="zh-CN"/>
        </w:rPr>
        <w:t>排放因子</w:t>
      </w:r>
      <w:r>
        <w:rPr>
          <w:rFonts w:hint="default" w:ascii="Times New Roman" w:hAnsi="Times New Roman" w:cs="Times New Roman"/>
          <w:color w:val="auto"/>
          <w:szCs w:val="28"/>
        </w:rPr>
        <w:t>计算所得，计量单元应为</w:t>
      </w:r>
      <w:r>
        <w:rPr>
          <w:rFonts w:hint="default" w:ascii="Times New Roman" w:hAnsi="Times New Roman" w:cs="Times New Roman"/>
          <w:color w:val="auto"/>
          <w:szCs w:val="28"/>
          <w:lang w:val="en-US" w:eastAsia="zh-CN"/>
        </w:rPr>
        <w:t>批次</w:t>
      </w:r>
      <w:r>
        <w:rPr>
          <w:rFonts w:hint="default" w:ascii="Times New Roman" w:hAnsi="Times New Roman" w:cs="Times New Roman"/>
          <w:color w:val="auto"/>
          <w:szCs w:val="28"/>
        </w:rPr>
        <w:t>，构件工厂内</w:t>
      </w:r>
      <w:r>
        <w:rPr>
          <w:rFonts w:hint="default" w:ascii="Times New Roman" w:hAnsi="Times New Roman" w:cs="Times New Roman"/>
          <w:color w:val="auto"/>
          <w:szCs w:val="28"/>
          <w:lang w:val="en-US" w:eastAsia="zh-CN"/>
        </w:rPr>
        <w:t>连续</w:t>
      </w:r>
      <w:r>
        <w:rPr>
          <w:rFonts w:hint="default" w:ascii="Times New Roman" w:hAnsi="Times New Roman" w:cs="Times New Roman"/>
          <w:color w:val="auto"/>
          <w:szCs w:val="28"/>
        </w:rPr>
        <w:t>生产的</w:t>
      </w:r>
      <w:r>
        <w:rPr>
          <w:rFonts w:hint="default" w:ascii="Times New Roman" w:hAnsi="Times New Roman" w:cs="Times New Roman"/>
          <w:color w:val="auto"/>
          <w:szCs w:val="28"/>
          <w:lang w:val="en-US" w:eastAsia="zh-CN"/>
        </w:rPr>
        <w:t>多个</w:t>
      </w:r>
      <w:r>
        <w:rPr>
          <w:rFonts w:hint="default" w:ascii="Times New Roman" w:hAnsi="Times New Roman" w:cs="Times New Roman"/>
          <w:color w:val="auto"/>
          <w:szCs w:val="28"/>
        </w:rPr>
        <w:t>批次可合并计量。</w:t>
      </w:r>
    </w:p>
    <w:p w14:paraId="22488F8B">
      <w:pPr>
        <w:pStyle w:val="4"/>
        <w:rPr>
          <w:rFonts w:hint="default" w:ascii="Times New Roman" w:hAnsi="Times New Roman" w:cs="Times New Roman"/>
          <w:color w:val="auto"/>
        </w:rPr>
      </w:pPr>
      <w:bookmarkStart w:id="33" w:name="_Toc28239"/>
      <w:bookmarkStart w:id="34" w:name="_Toc18578"/>
      <w:bookmarkStart w:id="35" w:name="_Toc29695"/>
      <w:bookmarkStart w:id="36" w:name="_Toc7314"/>
      <w:bookmarkStart w:id="130" w:name="_GoBack"/>
      <w:bookmarkEnd w:id="130"/>
      <w:r>
        <w:rPr>
          <w:rFonts w:hint="default" w:ascii="Times New Roman" w:hAnsi="Times New Roman" w:cs="Times New Roman"/>
          <w:color w:val="auto"/>
        </w:rPr>
        <w:t>4.2 计量边界</w:t>
      </w:r>
      <w:bookmarkEnd w:id="33"/>
      <w:bookmarkEnd w:id="34"/>
      <w:bookmarkEnd w:id="35"/>
      <w:bookmarkEnd w:id="36"/>
    </w:p>
    <w:p w14:paraId="54B79785">
      <w:pPr>
        <w:jc w:val="left"/>
        <w:rPr>
          <w:rFonts w:hint="default" w:ascii="Times New Roman" w:hAnsi="Times New Roman" w:cs="Times New Roman"/>
          <w:color w:val="auto"/>
          <w:szCs w:val="24"/>
        </w:rPr>
      </w:pPr>
      <w:r>
        <w:rPr>
          <w:rFonts w:hint="default" w:ascii="Times New Roman" w:hAnsi="Times New Roman" w:cs="Times New Roman"/>
          <w:color w:val="auto"/>
          <w:szCs w:val="24"/>
        </w:rPr>
        <w:t>4.2.1 时间边界</w:t>
      </w:r>
    </w:p>
    <w:p w14:paraId="2572FB1A">
      <w:pPr>
        <w:ind w:firstLine="480" w:firstLineChars="200"/>
        <w:rPr>
          <w:rFonts w:hint="default" w:ascii="Times New Roman" w:hAnsi="Times New Roman" w:cs="Times New Roman"/>
          <w:color w:val="auto"/>
          <w:szCs w:val="24"/>
        </w:rPr>
      </w:pPr>
      <w:r>
        <w:rPr>
          <w:rFonts w:hint="eastAsia" w:ascii="宋体" w:hAnsi="宋体" w:cs="宋体"/>
          <w:sz w:val="24"/>
          <w:szCs w:val="24"/>
          <w:lang w:val="en-US" w:eastAsia="zh-CN"/>
        </w:rPr>
        <w:t>装配式建筑</w:t>
      </w:r>
      <w:r>
        <w:rPr>
          <w:rFonts w:ascii="宋体" w:hAnsi="宋体" w:eastAsia="宋体" w:cs="宋体"/>
          <w:sz w:val="24"/>
          <w:szCs w:val="24"/>
        </w:rPr>
        <w:t>物化阶段碳排放时间边界应涵盖从建材生产、建材运输至构件厂开始，直至构件完成全部加工、处理、终检并转入成品存储区具备出厂条件为止。</w:t>
      </w:r>
    </w:p>
    <w:p w14:paraId="0CF9C3E9">
      <w:pPr>
        <w:widowControl/>
        <w:numPr>
          <w:ilvl w:val="255"/>
          <w:numId w:val="0"/>
        </w:numPr>
        <w:rPr>
          <w:rFonts w:hint="default" w:ascii="Times New Roman" w:hAnsi="Times New Roman" w:cs="Times New Roman"/>
          <w:color w:val="auto"/>
          <w:szCs w:val="24"/>
        </w:rPr>
      </w:pPr>
      <w:r>
        <w:rPr>
          <w:rFonts w:hint="default" w:ascii="Times New Roman" w:hAnsi="Times New Roman" w:cs="Times New Roman"/>
          <w:color w:val="auto"/>
          <w:szCs w:val="24"/>
        </w:rPr>
        <w:t>4.2.2 空间边界</w:t>
      </w:r>
    </w:p>
    <w:p w14:paraId="2DA5F1D6">
      <w:pPr>
        <w:widowControl/>
        <w:numPr>
          <w:ilvl w:val="255"/>
          <w:numId w:val="0"/>
        </w:numPr>
        <w:ind w:firstLine="480" w:firstLineChars="200"/>
        <w:rPr>
          <w:rFonts w:hint="default" w:ascii="Times New Roman" w:hAnsi="Times New Roman" w:cs="Times New Roman"/>
          <w:color w:val="auto"/>
          <w:szCs w:val="24"/>
        </w:rPr>
      </w:pPr>
      <w:r>
        <w:rPr>
          <w:rFonts w:hint="eastAsia" w:ascii="宋体" w:hAnsi="宋体" w:cs="宋体"/>
          <w:sz w:val="24"/>
          <w:szCs w:val="24"/>
          <w:lang w:val="en-US" w:eastAsia="zh-CN"/>
        </w:rPr>
        <w:t>装配式建筑</w:t>
      </w:r>
      <w:r>
        <w:rPr>
          <w:rFonts w:hint="default" w:ascii="Times New Roman" w:hAnsi="Times New Roman" w:cs="Times New Roman"/>
          <w:color w:val="auto"/>
          <w:szCs w:val="24"/>
        </w:rPr>
        <w:t>物化阶段碳排放</w:t>
      </w:r>
      <w:r>
        <w:rPr>
          <w:rFonts w:hint="default" w:ascii="Times New Roman" w:hAnsi="Times New Roman" w:cs="Times New Roman"/>
          <w:color w:val="auto"/>
          <w:szCs w:val="24"/>
          <w:lang w:val="en-US" w:eastAsia="zh-CN"/>
        </w:rPr>
        <w:t>空间边界应</w:t>
      </w:r>
      <w:r>
        <w:rPr>
          <w:rFonts w:hint="default" w:ascii="Times New Roman" w:hAnsi="Times New Roman" w:cs="Times New Roman"/>
          <w:color w:val="auto"/>
          <w:szCs w:val="24"/>
        </w:rPr>
        <w:t>以</w:t>
      </w:r>
      <w:r>
        <w:rPr>
          <w:rFonts w:hint="default" w:ascii="Times New Roman" w:hAnsi="Times New Roman" w:cs="Times New Roman"/>
          <w:color w:val="auto"/>
          <w:szCs w:val="24"/>
          <w:lang w:val="en-US" w:eastAsia="zh-CN"/>
        </w:rPr>
        <w:t>构件</w:t>
      </w:r>
      <w:r>
        <w:rPr>
          <w:rFonts w:hint="default" w:ascii="Times New Roman" w:hAnsi="Times New Roman" w:cs="Times New Roman"/>
          <w:color w:val="auto"/>
          <w:szCs w:val="24"/>
        </w:rPr>
        <w:t>生产</w:t>
      </w:r>
      <w:r>
        <w:rPr>
          <w:rFonts w:hint="default" w:ascii="Times New Roman" w:hAnsi="Times New Roman" w:cs="Times New Roman"/>
          <w:color w:val="auto"/>
          <w:szCs w:val="24"/>
          <w:lang w:val="en-US" w:eastAsia="zh-CN"/>
        </w:rPr>
        <w:t>厂房为计量边界</w:t>
      </w:r>
      <w:r>
        <w:rPr>
          <w:rFonts w:hint="default" w:ascii="Times New Roman" w:hAnsi="Times New Roman" w:cs="Times New Roman"/>
          <w:color w:val="auto"/>
          <w:szCs w:val="24"/>
        </w:rPr>
        <w:t>，包括所有生产设施涉及的碳排放计量。生产设施范围包括直接生产系统、辅助生产系统</w:t>
      </w:r>
      <w:r>
        <w:rPr>
          <w:rFonts w:hint="eastAsia" w:cs="Times New Roman"/>
          <w:color w:val="auto"/>
          <w:szCs w:val="24"/>
          <w:lang w:eastAsia="zh-CN"/>
        </w:rPr>
        <w:t>，以及</w:t>
      </w:r>
      <w:r>
        <w:rPr>
          <w:rFonts w:hint="default" w:ascii="Times New Roman" w:hAnsi="Times New Roman" w:cs="Times New Roman"/>
          <w:color w:val="auto"/>
          <w:szCs w:val="24"/>
        </w:rPr>
        <w:t>直接为生产服务的附属生产系统，其中辅助生产系统包括动力、供电、供水、</w:t>
      </w:r>
      <w:r>
        <w:rPr>
          <w:rFonts w:hint="default" w:ascii="Times New Roman" w:hAnsi="Times New Roman" w:cs="Times New Roman"/>
          <w:color w:val="auto"/>
          <w:szCs w:val="24"/>
          <w:lang w:val="en-US" w:eastAsia="zh-CN"/>
        </w:rPr>
        <w:t>检验</w:t>
      </w:r>
      <w:r>
        <w:rPr>
          <w:rFonts w:hint="default" w:ascii="Times New Roman" w:hAnsi="Times New Roman" w:cs="Times New Roman"/>
          <w:color w:val="auto"/>
          <w:szCs w:val="24"/>
        </w:rPr>
        <w:t>、机修、库房、</w:t>
      </w:r>
      <w:r>
        <w:rPr>
          <w:rFonts w:hint="default" w:ascii="Times New Roman" w:hAnsi="Times New Roman" w:cs="Times New Roman"/>
          <w:color w:val="auto"/>
          <w:szCs w:val="24"/>
          <w:lang w:val="en-US" w:eastAsia="zh-CN"/>
        </w:rPr>
        <w:t>内部</w:t>
      </w:r>
      <w:r>
        <w:rPr>
          <w:rFonts w:hint="default" w:ascii="Times New Roman" w:hAnsi="Times New Roman" w:cs="Times New Roman"/>
          <w:color w:val="auto"/>
          <w:szCs w:val="24"/>
        </w:rPr>
        <w:t>运输等，附属生产系统包括生产指挥系统。</w:t>
      </w:r>
    </w:p>
    <w:p w14:paraId="1EFFB6A5">
      <w:pPr>
        <w:rPr>
          <w:rFonts w:hint="default" w:ascii="Times New Roman" w:hAnsi="Times New Roman" w:cs="Times New Roman"/>
          <w:color w:val="auto"/>
          <w:szCs w:val="24"/>
        </w:rPr>
      </w:pPr>
      <w:r>
        <w:rPr>
          <w:rFonts w:hint="default" w:ascii="Times New Roman" w:hAnsi="Times New Roman" w:cs="Times New Roman"/>
          <w:color w:val="auto"/>
          <w:szCs w:val="24"/>
        </w:rPr>
        <w:t>4.2.3 物理边界</w:t>
      </w:r>
    </w:p>
    <w:p w14:paraId="5F310F0B">
      <w:pPr>
        <w:ind w:firstLine="480" w:firstLineChars="200"/>
        <w:rPr>
          <w:rFonts w:hint="default" w:ascii="Times New Roman" w:hAnsi="Times New Roman" w:cs="Times New Roman"/>
          <w:color w:val="auto"/>
          <w:szCs w:val="24"/>
        </w:rPr>
      </w:pPr>
      <w:bookmarkStart w:id="37" w:name="OLE_LINK6"/>
      <w:r>
        <w:rPr>
          <w:rFonts w:hint="eastAsia" w:ascii="宋体" w:hAnsi="宋体" w:cs="宋体"/>
          <w:sz w:val="24"/>
          <w:szCs w:val="24"/>
          <w:lang w:val="en-US" w:eastAsia="zh-CN"/>
        </w:rPr>
        <w:t>装配式建筑</w:t>
      </w:r>
      <w:r>
        <w:rPr>
          <w:rFonts w:hint="default" w:ascii="Times New Roman" w:hAnsi="Times New Roman" w:cs="Times New Roman"/>
          <w:color w:val="auto"/>
          <w:szCs w:val="24"/>
        </w:rPr>
        <w:t>物化阶段碳排放物理边界</w:t>
      </w:r>
      <w:bookmarkEnd w:id="37"/>
      <w:r>
        <w:rPr>
          <w:rFonts w:hint="default" w:ascii="Times New Roman" w:hAnsi="Times New Roman" w:cs="Times New Roman"/>
          <w:color w:val="auto"/>
          <w:szCs w:val="24"/>
          <w:lang w:val="en-US" w:eastAsia="zh-CN"/>
        </w:rPr>
        <w:t>应以</w:t>
      </w:r>
      <w:r>
        <w:rPr>
          <w:rFonts w:hint="default" w:ascii="Times New Roman" w:hAnsi="Times New Roman" w:cs="Times New Roman"/>
          <w:color w:val="auto"/>
          <w:szCs w:val="24"/>
        </w:rPr>
        <w:t>为生产目标批次而流入和流出的所有物质和能量流</w:t>
      </w:r>
      <w:r>
        <w:rPr>
          <w:rFonts w:hint="default" w:ascii="Times New Roman" w:hAnsi="Times New Roman" w:cs="Times New Roman"/>
          <w:color w:val="auto"/>
          <w:szCs w:val="24"/>
          <w:lang w:val="en-US" w:eastAsia="zh-CN"/>
        </w:rPr>
        <w:t>计量边界</w:t>
      </w:r>
      <w:r>
        <w:rPr>
          <w:rFonts w:hint="default" w:ascii="Times New Roman" w:hAnsi="Times New Roman" w:cs="Times New Roman"/>
          <w:color w:val="auto"/>
          <w:szCs w:val="24"/>
        </w:rPr>
        <w:t>，包括</w:t>
      </w:r>
      <w:r>
        <w:rPr>
          <w:rStyle w:val="22"/>
          <w:rFonts w:hint="default" w:ascii="Times New Roman" w:hAnsi="Times New Roman" w:cs="Times New Roman"/>
          <w:b w:val="0"/>
          <w:color w:val="auto"/>
          <w:szCs w:val="24"/>
        </w:rPr>
        <w:t>生产</w:t>
      </w:r>
      <w:r>
        <w:rPr>
          <w:rStyle w:val="22"/>
          <w:rFonts w:hint="default" w:ascii="Times New Roman" w:hAnsi="Times New Roman" w:cs="Times New Roman"/>
          <w:b w:val="0"/>
          <w:color w:val="auto"/>
          <w:szCs w:val="24"/>
          <w:lang w:val="en-US" w:eastAsia="zh-CN"/>
        </w:rPr>
        <w:t>目标</w:t>
      </w:r>
      <w:r>
        <w:rPr>
          <w:rStyle w:val="22"/>
          <w:rFonts w:hint="default" w:ascii="Times New Roman" w:hAnsi="Times New Roman" w:cs="Times New Roman"/>
          <w:b w:val="0"/>
          <w:color w:val="auto"/>
          <w:szCs w:val="24"/>
        </w:rPr>
        <w:t>批次所消耗的全部原材料</w:t>
      </w:r>
      <w:r>
        <w:rPr>
          <w:rFonts w:hint="default" w:ascii="Times New Roman" w:hAnsi="Times New Roman" w:cs="Times New Roman"/>
          <w:color w:val="auto"/>
          <w:szCs w:val="24"/>
        </w:rPr>
        <w:t>、</w:t>
      </w:r>
      <w:r>
        <w:rPr>
          <w:rStyle w:val="22"/>
          <w:rFonts w:hint="default" w:ascii="Times New Roman" w:hAnsi="Times New Roman" w:cs="Times New Roman"/>
          <w:b w:val="0"/>
          <w:color w:val="auto"/>
          <w:szCs w:val="24"/>
        </w:rPr>
        <w:t>辅助材料</w:t>
      </w:r>
      <w:r>
        <w:rPr>
          <w:rStyle w:val="22"/>
          <w:rFonts w:hint="default" w:ascii="Times New Roman" w:hAnsi="Times New Roman" w:cs="Times New Roman"/>
          <w:b w:val="0"/>
          <w:color w:val="auto"/>
          <w:szCs w:val="24"/>
          <w:lang w:eastAsia="zh-CN"/>
        </w:rPr>
        <w:t>，以及</w:t>
      </w:r>
      <w:r>
        <w:rPr>
          <w:rStyle w:val="22"/>
          <w:rFonts w:hint="default" w:ascii="Times New Roman" w:hAnsi="Times New Roman" w:cs="Times New Roman"/>
          <w:b w:val="0"/>
          <w:color w:val="auto"/>
          <w:szCs w:val="24"/>
        </w:rPr>
        <w:t>驱动生产过程所需消耗的全部能源</w:t>
      </w:r>
      <w:r>
        <w:rPr>
          <w:rFonts w:hint="default" w:ascii="Times New Roman" w:hAnsi="Times New Roman" w:cs="Times New Roman"/>
          <w:color w:val="auto"/>
          <w:szCs w:val="24"/>
        </w:rPr>
        <w:t>。</w:t>
      </w:r>
    </w:p>
    <w:p w14:paraId="6F88DF3B">
      <w:pPr>
        <w:pStyle w:val="4"/>
        <w:rPr>
          <w:rFonts w:hint="default" w:ascii="Times New Roman" w:hAnsi="Times New Roman" w:cs="Times New Roman"/>
          <w:color w:val="auto"/>
        </w:rPr>
      </w:pPr>
      <w:bookmarkStart w:id="38" w:name="_Toc4130"/>
      <w:bookmarkStart w:id="39" w:name="_Toc14667"/>
      <w:bookmarkStart w:id="40" w:name="_Toc7602"/>
      <w:bookmarkStart w:id="41" w:name="_Toc11040"/>
      <w:r>
        <w:rPr>
          <w:rFonts w:hint="default" w:ascii="Times New Roman" w:hAnsi="Times New Roman" w:cs="Times New Roman"/>
          <w:color w:val="auto"/>
        </w:rPr>
        <w:t>4.3 计量范围</w:t>
      </w:r>
      <w:bookmarkEnd w:id="38"/>
      <w:bookmarkEnd w:id="39"/>
      <w:bookmarkEnd w:id="40"/>
      <w:bookmarkEnd w:id="41"/>
    </w:p>
    <w:p w14:paraId="70E8CFB2">
      <w:pPr>
        <w:ind w:firstLine="480" w:firstLineChars="200"/>
        <w:rPr>
          <w:rFonts w:hint="default" w:ascii="Times New Roman" w:hAnsi="Times New Roman" w:cs="Times New Roman"/>
          <w:color w:val="auto"/>
          <w:szCs w:val="24"/>
        </w:rPr>
      </w:pPr>
      <w:r>
        <w:rPr>
          <w:rFonts w:hint="eastAsia" w:cs="Times New Roman"/>
          <w:color w:val="auto"/>
          <w:szCs w:val="24"/>
          <w:lang w:eastAsia="zh-CN"/>
        </w:rPr>
        <w:t>装配式建筑物化阶段</w:t>
      </w:r>
      <w:r>
        <w:rPr>
          <w:rFonts w:hint="default" w:ascii="Times New Roman" w:hAnsi="Times New Roman" w:cs="Times New Roman"/>
          <w:color w:val="auto"/>
          <w:szCs w:val="24"/>
        </w:rPr>
        <w:t>碳排放包括直接碳排放和间接碳排放两部分，直接碳排放主要包括</w:t>
      </w:r>
      <w:r>
        <w:rPr>
          <w:rFonts w:hint="default" w:ascii="Times New Roman" w:hAnsi="Times New Roman" w:cs="Times New Roman"/>
          <w:color w:val="auto"/>
          <w:szCs w:val="28"/>
          <w:lang w:val="en-US" w:eastAsia="zh-CN"/>
        </w:rPr>
        <w:t>燃料燃烧排放</w:t>
      </w:r>
      <w:r>
        <w:rPr>
          <w:rFonts w:hint="default" w:ascii="Times New Roman" w:hAnsi="Times New Roman" w:cs="Times New Roman"/>
          <w:color w:val="auto"/>
          <w:szCs w:val="24"/>
        </w:rPr>
        <w:t>、非能源介质过程排放和特殊物质过程排放；间接碳排放主要包括净购入电力、</w:t>
      </w:r>
      <w:r>
        <w:rPr>
          <w:rFonts w:hint="eastAsia" w:cs="Times New Roman"/>
          <w:color w:val="auto"/>
          <w:szCs w:val="24"/>
          <w:lang w:eastAsia="zh-CN"/>
        </w:rPr>
        <w:t>热（</w:t>
      </w:r>
      <w:r>
        <w:rPr>
          <w:rFonts w:hint="eastAsia" w:cs="Times New Roman"/>
          <w:color w:val="auto"/>
          <w:szCs w:val="24"/>
          <w:lang w:val="en-US" w:eastAsia="zh-CN"/>
        </w:rPr>
        <w:t>冷</w:t>
      </w:r>
      <w:r>
        <w:rPr>
          <w:rFonts w:hint="eastAsia" w:cs="Times New Roman"/>
          <w:color w:val="auto"/>
          <w:szCs w:val="24"/>
          <w:lang w:eastAsia="zh-CN"/>
        </w:rPr>
        <w:t>）</w:t>
      </w:r>
      <w:r>
        <w:rPr>
          <w:rFonts w:hint="eastAsia" w:cs="Times New Roman"/>
          <w:color w:val="auto"/>
          <w:szCs w:val="24"/>
          <w:lang w:val="en-US" w:eastAsia="zh-CN"/>
        </w:rPr>
        <w:t>能</w:t>
      </w:r>
      <w:r>
        <w:rPr>
          <w:rFonts w:hint="default" w:ascii="Times New Roman" w:hAnsi="Times New Roman" w:cs="Times New Roman"/>
          <w:color w:val="auto"/>
          <w:szCs w:val="28"/>
          <w:lang w:val="en-US" w:eastAsia="zh-CN"/>
        </w:rPr>
        <w:t>产生的排放</w:t>
      </w:r>
      <w:r>
        <w:rPr>
          <w:rFonts w:hint="default" w:ascii="Times New Roman" w:hAnsi="Times New Roman" w:cs="Times New Roman"/>
          <w:color w:val="auto"/>
          <w:szCs w:val="24"/>
        </w:rPr>
        <w:t>。</w:t>
      </w:r>
      <w:r>
        <w:rPr>
          <w:rFonts w:hint="eastAsia" w:cs="Times New Roman"/>
          <w:color w:val="auto"/>
          <w:szCs w:val="24"/>
          <w:lang w:eastAsia="zh-CN"/>
        </w:rPr>
        <w:t>装配式建筑物化阶段</w:t>
      </w:r>
      <w:r>
        <w:rPr>
          <w:rFonts w:hint="default" w:ascii="Times New Roman" w:hAnsi="Times New Roman" w:cs="Times New Roman"/>
          <w:color w:val="auto"/>
          <w:szCs w:val="24"/>
        </w:rPr>
        <w:t>碳排放计量范围示意图如图1所示。</w:t>
      </w:r>
    </w:p>
    <w:p w14:paraId="7FCA003F">
      <w:pPr>
        <w:ind w:left="-720" w:leftChars="-300" w:firstLine="0" w:firstLineChars="0"/>
        <w:jc w:val="center"/>
        <w:rPr>
          <w:rFonts w:hint="default" w:ascii="Times New Roman" w:hAnsi="Times New Roman" w:eastAsia="宋体" w:cs="Times New Roman"/>
          <w:color w:val="auto"/>
          <w:szCs w:val="24"/>
          <w:lang w:eastAsia="zh-CN"/>
        </w:rPr>
      </w:pPr>
      <w:r>
        <w:rPr>
          <w:rFonts w:hint="default" w:ascii="Times New Roman" w:hAnsi="Times New Roman" w:eastAsia="宋体" w:cs="Times New Roman"/>
          <w:color w:val="auto"/>
          <w:szCs w:val="24"/>
          <w:lang w:eastAsia="zh-CN"/>
        </w:rPr>
        <w:drawing>
          <wp:inline distT="0" distB="0" distL="114300" distR="114300">
            <wp:extent cx="6426200" cy="3619500"/>
            <wp:effectExtent l="0" t="0" r="0" b="0"/>
            <wp:docPr id="6" name="图片 6" descr="门到门构件物化"/>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门到门构件物化"/>
                    <pic:cNvPicPr>
                      <a:picLocks noChangeAspect="1"/>
                    </pic:cNvPicPr>
                  </pic:nvPicPr>
                  <pic:blipFill>
                    <a:blip r:embed="rId10"/>
                    <a:srcRect l="1883" r="9664"/>
                    <a:stretch>
                      <a:fillRect/>
                    </a:stretch>
                  </pic:blipFill>
                  <pic:spPr>
                    <a:xfrm>
                      <a:off x="0" y="0"/>
                      <a:ext cx="6426200" cy="3619500"/>
                    </a:xfrm>
                    <a:prstGeom prst="rect">
                      <a:avLst/>
                    </a:prstGeom>
                  </pic:spPr>
                </pic:pic>
              </a:graphicData>
            </a:graphic>
          </wp:inline>
        </w:drawing>
      </w:r>
    </w:p>
    <w:p w14:paraId="31EDA9A3">
      <w:pPr>
        <w:ind w:firstLine="0" w:firstLineChars="0"/>
        <w:jc w:val="center"/>
        <w:rPr>
          <w:rFonts w:hint="default" w:ascii="Times New Roman" w:hAnsi="Times New Roman" w:eastAsia="黑体" w:cs="Times New Roman"/>
          <w:color w:val="auto"/>
          <w:sz w:val="21"/>
          <w:szCs w:val="21"/>
        </w:rPr>
      </w:pPr>
      <w:r>
        <w:rPr>
          <w:rFonts w:hint="default" w:ascii="Times New Roman" w:hAnsi="Times New Roman" w:eastAsia="黑体" w:cs="Times New Roman"/>
          <w:color w:val="auto"/>
          <w:sz w:val="21"/>
          <w:szCs w:val="21"/>
        </w:rPr>
        <w:t xml:space="preserve">图1 </w:t>
      </w:r>
      <w:r>
        <w:rPr>
          <w:rFonts w:hint="eastAsia" w:eastAsia="黑体" w:cs="Times New Roman"/>
          <w:color w:val="auto"/>
          <w:sz w:val="21"/>
          <w:szCs w:val="21"/>
          <w:lang w:eastAsia="zh-CN"/>
        </w:rPr>
        <w:t>装配式建筑物化阶段</w:t>
      </w:r>
      <w:r>
        <w:rPr>
          <w:rFonts w:hint="default" w:ascii="Times New Roman" w:hAnsi="Times New Roman" w:eastAsia="黑体" w:cs="Times New Roman"/>
          <w:color w:val="auto"/>
          <w:sz w:val="21"/>
          <w:szCs w:val="21"/>
        </w:rPr>
        <w:t>碳排放计量范围示意图</w:t>
      </w:r>
    </w:p>
    <w:p w14:paraId="2CDBD4C9">
      <w:pPr>
        <w:pStyle w:val="3"/>
        <w:rPr>
          <w:rFonts w:hint="default" w:ascii="Times New Roman" w:hAnsi="Times New Roman" w:cs="Times New Roman"/>
          <w:color w:val="auto"/>
        </w:rPr>
      </w:pPr>
      <w:bookmarkStart w:id="42" w:name="_Toc30871"/>
      <w:bookmarkStart w:id="43" w:name="_Toc30297"/>
      <w:bookmarkStart w:id="44" w:name="_Toc1070"/>
      <w:bookmarkStart w:id="45" w:name="_Toc18026"/>
      <w:r>
        <w:rPr>
          <w:rFonts w:hint="default" w:ascii="Times New Roman" w:hAnsi="Times New Roman" w:cs="Times New Roman"/>
          <w:color w:val="auto"/>
        </w:rPr>
        <w:t>5 计量要求</w:t>
      </w:r>
      <w:bookmarkEnd w:id="42"/>
      <w:bookmarkEnd w:id="43"/>
      <w:bookmarkEnd w:id="44"/>
      <w:bookmarkEnd w:id="45"/>
    </w:p>
    <w:p w14:paraId="6AFEE157">
      <w:pPr>
        <w:pStyle w:val="4"/>
        <w:rPr>
          <w:rFonts w:hint="default" w:ascii="Times New Roman" w:hAnsi="Times New Roman" w:cs="Times New Roman"/>
          <w:color w:val="auto"/>
        </w:rPr>
      </w:pPr>
      <w:bookmarkStart w:id="46" w:name="_Toc26163"/>
      <w:bookmarkStart w:id="47" w:name="_Toc30879"/>
      <w:bookmarkStart w:id="48" w:name="_Toc18663"/>
      <w:bookmarkStart w:id="49" w:name="_Toc5588"/>
      <w:bookmarkStart w:id="50" w:name="_Toc20882"/>
      <w:bookmarkStart w:id="51" w:name="_Toc28621"/>
      <w:bookmarkStart w:id="52" w:name="_Toc14716"/>
      <w:bookmarkStart w:id="53" w:name="_Toc28179"/>
      <w:r>
        <w:rPr>
          <w:rFonts w:hint="default" w:ascii="Times New Roman" w:hAnsi="Times New Roman" w:cs="Times New Roman"/>
          <w:color w:val="auto"/>
          <w:lang w:val="en-US" w:eastAsia="zh-CN"/>
        </w:rPr>
        <w:t>5</w:t>
      </w:r>
      <w:r>
        <w:rPr>
          <w:rFonts w:hint="default" w:ascii="Times New Roman" w:hAnsi="Times New Roman" w:cs="Times New Roman"/>
          <w:color w:val="auto"/>
        </w:rPr>
        <w:t>.</w:t>
      </w:r>
      <w:r>
        <w:rPr>
          <w:rFonts w:hint="default" w:ascii="Times New Roman" w:hAnsi="Times New Roman" w:cs="Times New Roman"/>
          <w:color w:val="auto"/>
          <w:lang w:val="en-US" w:eastAsia="zh-CN"/>
        </w:rPr>
        <w:t>1</w:t>
      </w:r>
      <w:r>
        <w:rPr>
          <w:rFonts w:hint="default" w:ascii="Times New Roman" w:hAnsi="Times New Roman" w:cs="Times New Roman"/>
          <w:color w:val="auto"/>
        </w:rPr>
        <w:t xml:space="preserve"> </w:t>
      </w:r>
      <w:r>
        <w:rPr>
          <w:rFonts w:hint="default" w:ascii="Times New Roman" w:hAnsi="Times New Roman" w:cs="Times New Roman"/>
          <w:color w:val="auto"/>
          <w:lang w:eastAsia="zh-CN"/>
        </w:rPr>
        <w:t>构件源流</w:t>
      </w:r>
      <w:r>
        <w:rPr>
          <w:rFonts w:hint="default" w:ascii="Times New Roman" w:hAnsi="Times New Roman" w:cs="Times New Roman"/>
          <w:color w:val="auto"/>
        </w:rPr>
        <w:t>识别</w:t>
      </w:r>
      <w:bookmarkEnd w:id="46"/>
      <w:bookmarkEnd w:id="47"/>
      <w:bookmarkEnd w:id="48"/>
      <w:bookmarkEnd w:id="49"/>
    </w:p>
    <w:p w14:paraId="23494ACC">
      <w:pPr>
        <w:widowControl/>
        <w:rPr>
          <w:rFonts w:hint="default" w:ascii="Times New Roman" w:hAnsi="Times New Roman" w:cs="Times New Roman"/>
          <w:color w:val="auto"/>
          <w:szCs w:val="28"/>
          <w:lang w:val="en-US" w:eastAsia="zh-CN"/>
        </w:rPr>
      </w:pPr>
      <w:r>
        <w:rPr>
          <w:rFonts w:hint="default" w:ascii="Times New Roman" w:hAnsi="Times New Roman" w:cs="Times New Roman"/>
          <w:color w:val="auto"/>
          <w:szCs w:val="28"/>
          <w:lang w:val="en-US" w:eastAsia="zh-CN"/>
        </w:rPr>
        <w:t>5</w:t>
      </w:r>
      <w:r>
        <w:rPr>
          <w:rFonts w:hint="default" w:ascii="Times New Roman" w:hAnsi="Times New Roman" w:cs="Times New Roman"/>
          <w:color w:val="auto"/>
          <w:szCs w:val="28"/>
        </w:rPr>
        <w:t>.</w:t>
      </w:r>
      <w:r>
        <w:rPr>
          <w:rFonts w:hint="default" w:ascii="Times New Roman" w:hAnsi="Times New Roman" w:cs="Times New Roman"/>
          <w:color w:val="auto"/>
          <w:szCs w:val="28"/>
          <w:lang w:val="en-US" w:eastAsia="zh-CN"/>
        </w:rPr>
        <w:t>1</w:t>
      </w:r>
      <w:r>
        <w:rPr>
          <w:rFonts w:hint="default" w:ascii="Times New Roman" w:hAnsi="Times New Roman" w:cs="Times New Roman"/>
          <w:color w:val="auto"/>
          <w:szCs w:val="28"/>
        </w:rPr>
        <w:t xml:space="preserve">.1 </w:t>
      </w:r>
      <w:r>
        <w:rPr>
          <w:rFonts w:hint="default" w:ascii="Times New Roman" w:hAnsi="Times New Roman" w:cs="Times New Roman"/>
          <w:color w:val="auto"/>
          <w:szCs w:val="28"/>
          <w:lang w:val="en-US" w:eastAsia="zh-CN"/>
        </w:rPr>
        <w:t>识别原则</w:t>
      </w:r>
    </w:p>
    <w:p w14:paraId="272CCFE2">
      <w:pPr>
        <w:keepNext w:val="0"/>
        <w:keepLines w:val="0"/>
        <w:pageBreakBefore w:val="0"/>
        <w:widowControl/>
        <w:kinsoku/>
        <w:wordWrap/>
        <w:overflowPunct/>
        <w:topLinePunct w:val="0"/>
        <w:autoSpaceDE/>
        <w:autoSpaceDN/>
        <w:bidi w:val="0"/>
        <w:adjustRightInd/>
        <w:snapToGrid/>
        <w:ind w:firstLine="480" w:firstLineChars="200"/>
        <w:textAlignment w:val="auto"/>
        <w:rPr>
          <w:rFonts w:hint="default" w:ascii="Times New Roman" w:hAnsi="Times New Roman" w:cs="Times New Roman"/>
          <w:color w:val="auto"/>
          <w:szCs w:val="28"/>
          <w:lang w:val="en-US" w:eastAsia="zh-CN"/>
        </w:rPr>
      </w:pPr>
      <w:r>
        <w:rPr>
          <w:rFonts w:hint="eastAsia" w:cs="Times New Roman"/>
          <w:color w:val="auto"/>
          <w:szCs w:val="28"/>
          <w:lang w:val="en-US" w:eastAsia="zh-CN"/>
        </w:rPr>
        <w:t>装配式建筑物化阶段</w:t>
      </w:r>
      <w:r>
        <w:rPr>
          <w:rFonts w:hint="default" w:ascii="Times New Roman" w:hAnsi="Times New Roman" w:cs="Times New Roman"/>
          <w:color w:val="auto"/>
          <w:szCs w:val="28"/>
          <w:lang w:val="en-US" w:eastAsia="zh-CN"/>
        </w:rPr>
        <w:t>的构件</w:t>
      </w:r>
      <w:r>
        <w:rPr>
          <w:rFonts w:hint="eastAsia" w:cs="Times New Roman"/>
          <w:color w:val="auto"/>
          <w:szCs w:val="28"/>
          <w:lang w:val="en-US" w:eastAsia="zh-CN"/>
        </w:rPr>
        <w:t>源流</w:t>
      </w:r>
      <w:r>
        <w:rPr>
          <w:rFonts w:hint="default" w:ascii="Times New Roman" w:hAnsi="Times New Roman" w:cs="Times New Roman"/>
          <w:color w:val="auto"/>
          <w:szCs w:val="28"/>
          <w:lang w:val="en-US" w:eastAsia="zh-CN"/>
        </w:rPr>
        <w:t>识别应符合以下要求：</w:t>
      </w:r>
    </w:p>
    <w:p w14:paraId="3A752AEA">
      <w:pPr>
        <w:keepNext w:val="0"/>
        <w:keepLines w:val="0"/>
        <w:pageBreakBefore w:val="0"/>
        <w:widowControl/>
        <w:kinsoku/>
        <w:wordWrap/>
        <w:overflowPunct/>
        <w:topLinePunct w:val="0"/>
        <w:autoSpaceDE/>
        <w:autoSpaceDN/>
        <w:bidi w:val="0"/>
        <w:adjustRightInd/>
        <w:snapToGrid/>
        <w:ind w:firstLine="480" w:firstLineChars="200"/>
        <w:textAlignment w:val="auto"/>
        <w:rPr>
          <w:rFonts w:hint="default" w:ascii="Times New Roman" w:hAnsi="Times New Roman" w:cs="Times New Roman"/>
          <w:color w:val="auto"/>
        </w:rPr>
      </w:pPr>
      <w:r>
        <w:rPr>
          <w:rFonts w:hint="default" w:ascii="Times New Roman" w:hAnsi="Times New Roman" w:cs="Times New Roman"/>
          <w:color w:val="auto"/>
          <w:szCs w:val="28"/>
          <w:lang w:val="en-US" w:eastAsia="zh-CN"/>
        </w:rPr>
        <w:t>1） 应系统性梳理计量边界内的所有排放活动；</w:t>
      </w:r>
    </w:p>
    <w:p w14:paraId="78044A67">
      <w:pPr>
        <w:keepNext w:val="0"/>
        <w:keepLines w:val="0"/>
        <w:pageBreakBefore w:val="0"/>
        <w:widowControl/>
        <w:kinsoku/>
        <w:wordWrap/>
        <w:overflowPunct/>
        <w:topLinePunct w:val="0"/>
        <w:autoSpaceDE/>
        <w:autoSpaceDN/>
        <w:bidi w:val="0"/>
        <w:adjustRightInd/>
        <w:snapToGrid/>
        <w:ind w:firstLine="480" w:firstLineChars="200"/>
        <w:textAlignment w:val="auto"/>
        <w:rPr>
          <w:rFonts w:hint="default" w:ascii="Times New Roman" w:hAnsi="Times New Roman" w:eastAsia="宋体" w:cs="Times New Roman"/>
          <w:b w:val="0"/>
          <w:bCs/>
          <w:color w:val="auto"/>
          <w:lang w:eastAsia="zh-CN"/>
        </w:rPr>
      </w:pPr>
      <w:r>
        <w:rPr>
          <w:rFonts w:hint="default" w:ascii="Times New Roman" w:hAnsi="Times New Roman" w:cs="Times New Roman"/>
          <w:color w:val="auto"/>
        </w:rPr>
        <w:t>2</w:t>
      </w:r>
      <w:r>
        <w:rPr>
          <w:rFonts w:hint="default" w:ascii="Times New Roman" w:hAnsi="Times New Roman" w:cs="Times New Roman"/>
          <w:color w:val="auto"/>
          <w:lang w:eastAsia="zh-CN"/>
        </w:rPr>
        <w:t>）</w:t>
      </w:r>
      <w:r>
        <w:rPr>
          <w:rStyle w:val="22"/>
          <w:rFonts w:hint="default" w:ascii="Times New Roman" w:hAnsi="Times New Roman" w:cs="Times New Roman"/>
          <w:color w:val="auto"/>
        </w:rPr>
        <w:t xml:space="preserve"> </w:t>
      </w:r>
      <w:r>
        <w:rPr>
          <w:rStyle w:val="22"/>
          <w:rFonts w:hint="default" w:ascii="Times New Roman" w:hAnsi="Times New Roman" w:cs="Times New Roman"/>
          <w:b w:val="0"/>
          <w:bCs/>
          <w:color w:val="auto"/>
          <w:lang w:val="en-US" w:eastAsia="zh-CN"/>
        </w:rPr>
        <w:t>构件</w:t>
      </w:r>
      <w:r>
        <w:rPr>
          <w:rStyle w:val="22"/>
          <w:rFonts w:hint="eastAsia" w:cs="Times New Roman"/>
          <w:b w:val="0"/>
          <w:bCs/>
          <w:color w:val="auto"/>
          <w:lang w:val="en-US" w:eastAsia="zh-CN"/>
        </w:rPr>
        <w:t>源流</w:t>
      </w:r>
      <w:r>
        <w:rPr>
          <w:rStyle w:val="22"/>
          <w:rFonts w:hint="default" w:ascii="Times New Roman" w:hAnsi="Times New Roman" w:cs="Times New Roman"/>
          <w:b w:val="0"/>
          <w:bCs/>
          <w:color w:val="auto"/>
          <w:lang w:val="en-US" w:eastAsia="zh-CN"/>
        </w:rPr>
        <w:t>应与</w:t>
      </w:r>
      <w:r>
        <w:rPr>
          <w:rStyle w:val="22"/>
          <w:rFonts w:hint="default" w:ascii="Times New Roman" w:hAnsi="Times New Roman" w:cs="Times New Roman"/>
          <w:b w:val="0"/>
          <w:bCs/>
          <w:color w:val="auto"/>
        </w:rPr>
        <w:t>可量化的活动数据</w:t>
      </w:r>
      <w:r>
        <w:rPr>
          <w:rStyle w:val="22"/>
          <w:rFonts w:hint="default" w:ascii="Times New Roman" w:hAnsi="Times New Roman" w:cs="Times New Roman"/>
          <w:b w:val="0"/>
          <w:bCs/>
          <w:color w:val="auto"/>
          <w:lang w:val="en-US" w:eastAsia="zh-CN"/>
        </w:rPr>
        <w:t>或</w:t>
      </w:r>
      <w:r>
        <w:rPr>
          <w:rStyle w:val="22"/>
          <w:rFonts w:hint="default" w:ascii="Times New Roman" w:hAnsi="Times New Roman" w:cs="Times New Roman"/>
          <w:b w:val="0"/>
          <w:bCs/>
          <w:color w:val="auto"/>
        </w:rPr>
        <w:t>排放因子</w:t>
      </w:r>
      <w:r>
        <w:rPr>
          <w:rStyle w:val="22"/>
          <w:rFonts w:hint="default" w:ascii="Times New Roman" w:hAnsi="Times New Roman" w:cs="Times New Roman"/>
          <w:b w:val="0"/>
          <w:bCs/>
          <w:color w:val="auto"/>
          <w:lang w:val="en-US" w:eastAsia="zh-CN"/>
        </w:rPr>
        <w:t>相关联</w:t>
      </w:r>
      <w:r>
        <w:rPr>
          <w:rStyle w:val="22"/>
          <w:rFonts w:hint="default" w:ascii="Times New Roman" w:hAnsi="Times New Roman" w:cs="Times New Roman"/>
          <w:b w:val="0"/>
          <w:bCs/>
          <w:color w:val="auto"/>
          <w:lang w:eastAsia="zh-CN"/>
        </w:rPr>
        <w:t>；</w:t>
      </w:r>
    </w:p>
    <w:p w14:paraId="2F9A3E16">
      <w:pPr>
        <w:keepNext w:val="0"/>
        <w:keepLines w:val="0"/>
        <w:pageBreakBefore w:val="0"/>
        <w:widowControl/>
        <w:suppressLineNumbers w:val="0"/>
        <w:kinsoku/>
        <w:wordWrap/>
        <w:overflowPunct/>
        <w:topLinePunct w:val="0"/>
        <w:autoSpaceDE/>
        <w:autoSpaceDN/>
        <w:bidi w:val="0"/>
        <w:adjustRightInd/>
        <w:snapToGrid/>
        <w:ind w:firstLine="480" w:firstLineChars="200"/>
        <w:jc w:val="left"/>
        <w:textAlignment w:val="auto"/>
        <w:rPr>
          <w:rFonts w:hint="default" w:ascii="Times New Roman" w:hAnsi="Times New Roman" w:cs="Times New Roman"/>
        </w:rPr>
      </w:pPr>
      <w:r>
        <w:rPr>
          <w:rFonts w:hint="default" w:ascii="Times New Roman" w:hAnsi="Times New Roman" w:cs="Times New Roman"/>
          <w:color w:val="auto"/>
          <w:lang w:val="en-US" w:eastAsia="zh-CN"/>
        </w:rPr>
        <w:t>3</w:t>
      </w:r>
      <w:r>
        <w:rPr>
          <w:rFonts w:hint="default" w:ascii="Times New Roman" w:hAnsi="Times New Roman" w:cs="Times New Roman"/>
          <w:color w:val="auto"/>
          <w:lang w:eastAsia="zh-CN"/>
        </w:rPr>
        <w:t>）</w:t>
      </w:r>
      <w:r>
        <w:rPr>
          <w:rStyle w:val="22"/>
          <w:rFonts w:hint="default" w:ascii="Times New Roman" w:hAnsi="Times New Roman" w:cs="Times New Roman"/>
          <w:color w:val="auto"/>
        </w:rPr>
        <w:t xml:space="preserve"> </w:t>
      </w:r>
      <w:r>
        <w:rPr>
          <w:rFonts w:hint="default" w:ascii="Times New Roman" w:hAnsi="Times New Roman" w:cs="Times New Roman"/>
          <w:lang w:val="en-US" w:eastAsia="zh-CN"/>
        </w:rPr>
        <w:t>应及时更新并记录因工艺变更、原材料替换或能源结构调整而新增或移除的构件</w:t>
      </w:r>
      <w:r>
        <w:rPr>
          <w:rFonts w:hint="eastAsia" w:cs="Times New Roman"/>
          <w:lang w:val="en-US" w:eastAsia="zh-CN"/>
        </w:rPr>
        <w:t>源流</w:t>
      </w:r>
      <w:r>
        <w:rPr>
          <w:rFonts w:hint="default" w:ascii="Times New Roman" w:hAnsi="Times New Roman" w:cs="Times New Roman"/>
          <w:lang w:val="en-US" w:eastAsia="zh-CN"/>
        </w:rPr>
        <w:t>。</w:t>
      </w:r>
    </w:p>
    <w:p w14:paraId="29939E23">
      <w:pPr>
        <w:rPr>
          <w:rFonts w:hint="default" w:ascii="Times New Roman" w:hAnsi="Times New Roman" w:cs="Times New Roman"/>
          <w:color w:val="auto"/>
          <w:szCs w:val="28"/>
          <w:lang w:val="en-US" w:eastAsia="zh-CN"/>
        </w:rPr>
      </w:pPr>
      <w:r>
        <w:rPr>
          <w:rFonts w:hint="default" w:ascii="Times New Roman" w:hAnsi="Times New Roman" w:cs="Times New Roman"/>
          <w:color w:val="auto"/>
          <w:szCs w:val="28"/>
          <w:lang w:eastAsia="zh-CN"/>
        </w:rPr>
        <w:t>5.</w:t>
      </w:r>
      <w:r>
        <w:rPr>
          <w:rFonts w:hint="default" w:ascii="Times New Roman" w:hAnsi="Times New Roman" w:cs="Times New Roman"/>
          <w:color w:val="auto"/>
          <w:szCs w:val="28"/>
          <w:lang w:val="en-US" w:eastAsia="zh-CN"/>
        </w:rPr>
        <w:t>1</w:t>
      </w:r>
      <w:r>
        <w:rPr>
          <w:rFonts w:hint="default" w:ascii="Times New Roman" w:hAnsi="Times New Roman" w:cs="Times New Roman"/>
          <w:color w:val="auto"/>
          <w:szCs w:val="28"/>
        </w:rPr>
        <w:t>.2 识别</w:t>
      </w:r>
      <w:r>
        <w:rPr>
          <w:rFonts w:hint="default" w:ascii="Times New Roman" w:hAnsi="Times New Roman" w:cs="Times New Roman"/>
          <w:color w:val="auto"/>
          <w:szCs w:val="28"/>
          <w:lang w:val="en-US" w:eastAsia="zh-CN"/>
        </w:rPr>
        <w:t>流程</w:t>
      </w:r>
    </w:p>
    <w:p w14:paraId="12377B93">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ascii="Times New Roman" w:hAnsi="Times New Roman" w:cs="Times New Roman"/>
          <w:color w:val="auto"/>
          <w:szCs w:val="28"/>
          <w:lang w:val="en-US" w:eastAsia="zh-CN"/>
        </w:rPr>
      </w:pPr>
      <w:r>
        <w:rPr>
          <w:rFonts w:hint="eastAsia" w:cs="Times New Roman"/>
          <w:i w:val="0"/>
          <w:iCs w:val="0"/>
          <w:color w:val="auto"/>
          <w:szCs w:val="28"/>
          <w:lang w:val="en-US" w:eastAsia="zh-CN"/>
        </w:rPr>
        <w:t>装配式建筑物化阶段</w:t>
      </w:r>
      <w:r>
        <w:rPr>
          <w:rFonts w:hint="default" w:ascii="Times New Roman" w:hAnsi="Times New Roman" w:cs="Times New Roman"/>
          <w:i w:val="0"/>
          <w:iCs w:val="0"/>
          <w:color w:val="auto"/>
          <w:szCs w:val="28"/>
          <w:lang w:val="en-US" w:eastAsia="zh-CN"/>
        </w:rPr>
        <w:t>碳排放的构件</w:t>
      </w:r>
      <w:r>
        <w:rPr>
          <w:rFonts w:hint="eastAsia" w:cs="Times New Roman"/>
          <w:i w:val="0"/>
          <w:iCs w:val="0"/>
          <w:color w:val="auto"/>
          <w:szCs w:val="28"/>
          <w:lang w:val="en-US" w:eastAsia="zh-CN"/>
        </w:rPr>
        <w:t>源流</w:t>
      </w:r>
      <w:r>
        <w:rPr>
          <w:rFonts w:hint="default" w:ascii="Times New Roman" w:hAnsi="Times New Roman" w:cs="Times New Roman"/>
          <w:i w:val="0"/>
          <w:iCs w:val="0"/>
          <w:color w:val="auto"/>
          <w:szCs w:val="28"/>
          <w:lang w:val="en-US" w:eastAsia="zh-CN"/>
        </w:rPr>
        <w:t>识别工作内容应包括获取重点</w:t>
      </w:r>
      <w:r>
        <w:rPr>
          <w:rFonts w:hint="eastAsia" w:cs="Times New Roman"/>
          <w:i w:val="0"/>
          <w:iCs w:val="0"/>
          <w:color w:val="auto"/>
          <w:szCs w:val="28"/>
          <w:lang w:val="en-US" w:eastAsia="zh-CN"/>
        </w:rPr>
        <w:t>排放</w:t>
      </w:r>
      <w:r>
        <w:rPr>
          <w:rFonts w:hint="default" w:ascii="Times New Roman" w:hAnsi="Times New Roman" w:cs="Times New Roman"/>
          <w:i w:val="0"/>
          <w:iCs w:val="0"/>
          <w:color w:val="auto"/>
          <w:szCs w:val="28"/>
          <w:lang w:val="en-US" w:eastAsia="zh-CN"/>
        </w:rPr>
        <w:t>设备清单、分析生产工艺流程、巡场确认及</w:t>
      </w:r>
      <w:r>
        <w:rPr>
          <w:rFonts w:hint="eastAsia" w:cs="Times New Roman"/>
          <w:i w:val="0"/>
          <w:iCs w:val="0"/>
          <w:color w:val="auto"/>
          <w:szCs w:val="28"/>
          <w:lang w:val="en-US" w:eastAsia="zh-CN"/>
        </w:rPr>
        <w:t>编制</w:t>
      </w:r>
      <w:r>
        <w:rPr>
          <w:rFonts w:hint="default" w:ascii="Times New Roman" w:hAnsi="Times New Roman" w:cs="Times New Roman"/>
          <w:i w:val="0"/>
          <w:iCs w:val="0"/>
          <w:color w:val="auto"/>
          <w:szCs w:val="28"/>
          <w:lang w:val="en-US" w:eastAsia="zh-CN"/>
        </w:rPr>
        <w:t>构件</w:t>
      </w:r>
      <w:r>
        <w:rPr>
          <w:rFonts w:hint="eastAsia" w:cs="Times New Roman"/>
          <w:i w:val="0"/>
          <w:iCs w:val="0"/>
          <w:color w:val="auto"/>
          <w:szCs w:val="28"/>
          <w:lang w:val="en-US" w:eastAsia="zh-CN"/>
        </w:rPr>
        <w:t>源流</w:t>
      </w:r>
      <w:r>
        <w:rPr>
          <w:rFonts w:hint="default" w:ascii="Times New Roman" w:hAnsi="Times New Roman" w:cs="Times New Roman"/>
          <w:color w:val="auto"/>
          <w:szCs w:val="28"/>
          <w:lang w:val="en-US" w:eastAsia="zh-CN"/>
        </w:rPr>
        <w:t>清单等，</w:t>
      </w:r>
      <w:r>
        <w:rPr>
          <w:rFonts w:hint="default" w:ascii="Times New Roman" w:hAnsi="Times New Roman" w:eastAsia="宋体" w:cs="Times New Roman"/>
          <w:color w:val="auto"/>
          <w:szCs w:val="28"/>
          <w:lang w:eastAsia="zh-CN"/>
        </w:rPr>
        <w:t>构件</w:t>
      </w:r>
      <w:r>
        <w:rPr>
          <w:rFonts w:hint="default" w:eastAsia="宋体" w:cs="Times New Roman"/>
          <w:color w:val="auto"/>
          <w:szCs w:val="28"/>
          <w:lang w:eastAsia="zh-CN"/>
        </w:rPr>
        <w:t>源流</w:t>
      </w:r>
      <w:r>
        <w:rPr>
          <w:rFonts w:hint="default" w:ascii="Times New Roman" w:hAnsi="Times New Roman" w:eastAsia="宋体" w:cs="Times New Roman"/>
          <w:color w:val="auto"/>
          <w:szCs w:val="28"/>
        </w:rPr>
        <w:t>清单</w:t>
      </w:r>
      <w:r>
        <w:rPr>
          <w:rFonts w:hint="default" w:eastAsia="宋体" w:cs="Times New Roman"/>
          <w:color w:val="auto"/>
          <w:szCs w:val="28"/>
          <w:lang w:val="en-US" w:eastAsia="zh-CN"/>
        </w:rPr>
        <w:t>应参考附录A，</w:t>
      </w:r>
      <w:r>
        <w:rPr>
          <w:rFonts w:hint="default" w:ascii="Times New Roman" w:hAnsi="Times New Roman" w:cs="Times New Roman"/>
          <w:color w:val="auto"/>
          <w:szCs w:val="28"/>
          <w:lang w:val="en-US" w:eastAsia="zh-CN"/>
        </w:rPr>
        <w:t>具体识别流程可参考图2。</w:t>
      </w:r>
    </w:p>
    <w:p w14:paraId="78D4F0B3">
      <w:pPr>
        <w:keepNext w:val="0"/>
        <w:keepLines w:val="0"/>
        <w:pageBreakBefore w:val="0"/>
        <w:widowControl w:val="0"/>
        <w:kinsoku/>
        <w:wordWrap/>
        <w:overflowPunct/>
        <w:topLinePunct w:val="0"/>
        <w:autoSpaceDE/>
        <w:autoSpaceDN/>
        <w:bidi w:val="0"/>
        <w:adjustRightInd/>
        <w:snapToGrid/>
        <w:ind w:firstLine="480" w:firstLineChars="200"/>
        <w:jc w:val="center"/>
        <w:textAlignment w:val="auto"/>
        <w:rPr>
          <w:rFonts w:hint="default" w:ascii="Times New Roman" w:hAnsi="Times New Roman" w:eastAsia="宋体" w:cs="Times New Roman"/>
          <w:lang w:eastAsia="zh-CN"/>
        </w:rPr>
      </w:pPr>
      <w:r>
        <w:rPr>
          <w:rFonts w:hint="default" w:ascii="Times New Roman" w:hAnsi="Times New Roman" w:eastAsia="宋体" w:cs="Times New Roman"/>
          <w:lang w:eastAsia="zh-CN"/>
        </w:rPr>
        <w:drawing>
          <wp:inline distT="0" distB="0" distL="114300" distR="114300">
            <wp:extent cx="2863850" cy="5041900"/>
            <wp:effectExtent l="0" t="0" r="6350" b="0"/>
            <wp:docPr id="7" name="图片 7" descr="E:/Users/Desktop/11111.jpg11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E:/Users/Desktop/11111.jpg11111"/>
                    <pic:cNvPicPr>
                      <a:picLocks noChangeAspect="1"/>
                    </pic:cNvPicPr>
                  </pic:nvPicPr>
                  <pic:blipFill>
                    <a:blip r:embed="rId11"/>
                    <a:srcRect/>
                    <a:stretch>
                      <a:fillRect/>
                    </a:stretch>
                  </pic:blipFill>
                  <pic:spPr>
                    <a:xfrm>
                      <a:off x="0" y="0"/>
                      <a:ext cx="2863850" cy="5041900"/>
                    </a:xfrm>
                    <a:prstGeom prst="rect">
                      <a:avLst/>
                    </a:prstGeom>
                  </pic:spPr>
                </pic:pic>
              </a:graphicData>
            </a:graphic>
          </wp:inline>
        </w:drawing>
      </w:r>
    </w:p>
    <w:p w14:paraId="33B2DC14">
      <w:pPr>
        <w:ind w:firstLine="0" w:firstLineChars="0"/>
        <w:jc w:val="center"/>
        <w:rPr>
          <w:rFonts w:hint="default" w:ascii="Times New Roman" w:hAnsi="Times New Roman" w:eastAsia="黑体" w:cs="Times New Roman"/>
          <w:color w:val="auto"/>
          <w:sz w:val="21"/>
          <w:szCs w:val="21"/>
        </w:rPr>
      </w:pPr>
      <w:r>
        <w:rPr>
          <w:rFonts w:hint="default" w:ascii="Times New Roman" w:hAnsi="Times New Roman" w:eastAsia="黑体" w:cs="Times New Roman"/>
          <w:color w:val="auto"/>
          <w:sz w:val="21"/>
          <w:szCs w:val="21"/>
        </w:rPr>
        <w:t>图</w:t>
      </w:r>
      <w:r>
        <w:rPr>
          <w:rFonts w:hint="default" w:ascii="Times New Roman" w:hAnsi="Times New Roman" w:eastAsia="黑体" w:cs="Times New Roman"/>
          <w:color w:val="auto"/>
          <w:sz w:val="21"/>
          <w:szCs w:val="21"/>
          <w:lang w:val="en-US" w:eastAsia="zh-CN"/>
        </w:rPr>
        <w:t>2</w:t>
      </w:r>
      <w:r>
        <w:rPr>
          <w:rFonts w:hint="default" w:ascii="Times New Roman" w:hAnsi="Times New Roman" w:eastAsia="黑体" w:cs="Times New Roman"/>
          <w:color w:val="auto"/>
          <w:sz w:val="21"/>
          <w:szCs w:val="21"/>
        </w:rPr>
        <w:t xml:space="preserve"> 构件</w:t>
      </w:r>
      <w:r>
        <w:rPr>
          <w:rFonts w:hint="eastAsia" w:eastAsia="黑体" w:cs="Times New Roman"/>
          <w:color w:val="auto"/>
          <w:sz w:val="21"/>
          <w:szCs w:val="21"/>
          <w:lang w:val="en-US" w:eastAsia="zh-CN"/>
        </w:rPr>
        <w:t>源流</w:t>
      </w:r>
      <w:r>
        <w:rPr>
          <w:rFonts w:hint="default" w:ascii="Times New Roman" w:hAnsi="Times New Roman" w:eastAsia="黑体" w:cs="Times New Roman"/>
          <w:color w:val="auto"/>
          <w:sz w:val="21"/>
          <w:szCs w:val="21"/>
          <w:lang w:val="en-US" w:eastAsia="zh-CN"/>
        </w:rPr>
        <w:t>识别流程</w:t>
      </w:r>
      <w:r>
        <w:rPr>
          <w:rFonts w:hint="default" w:ascii="Times New Roman" w:hAnsi="Times New Roman" w:eastAsia="黑体" w:cs="Times New Roman"/>
          <w:color w:val="auto"/>
          <w:sz w:val="21"/>
          <w:szCs w:val="21"/>
        </w:rPr>
        <w:t>示意图</w:t>
      </w:r>
    </w:p>
    <w:p w14:paraId="4CF7FAFB">
      <w:pPr>
        <w:pStyle w:val="4"/>
      </w:pPr>
      <w:r>
        <w:rPr>
          <w:rFonts w:hint="default" w:ascii="Times New Roman" w:hAnsi="Times New Roman" w:cs="Times New Roman"/>
          <w:color w:val="auto"/>
        </w:rPr>
        <w:t>5.</w:t>
      </w:r>
      <w:r>
        <w:rPr>
          <w:rFonts w:hint="default" w:ascii="Times New Roman" w:hAnsi="Times New Roman" w:cs="Times New Roman"/>
          <w:color w:val="auto"/>
          <w:lang w:val="en-US" w:eastAsia="zh-CN"/>
        </w:rPr>
        <w:t>2</w:t>
      </w:r>
      <w:r>
        <w:rPr>
          <w:rFonts w:hint="default" w:ascii="Times New Roman" w:hAnsi="Times New Roman" w:cs="Times New Roman"/>
          <w:color w:val="auto"/>
        </w:rPr>
        <w:t xml:space="preserve"> 计量点</w:t>
      </w:r>
      <w:bookmarkEnd w:id="50"/>
      <w:bookmarkEnd w:id="51"/>
      <w:bookmarkEnd w:id="52"/>
      <w:bookmarkEnd w:id="53"/>
      <w:r>
        <w:rPr>
          <w:rFonts w:hint="default" w:ascii="Times New Roman" w:hAnsi="Times New Roman" w:cs="Times New Roman"/>
          <w:color w:val="auto"/>
          <w:lang w:val="en-US" w:eastAsia="zh-CN"/>
        </w:rPr>
        <w:t>位的布置</w:t>
      </w:r>
    </w:p>
    <w:p w14:paraId="0138DFF5">
      <w:pPr>
        <w:shd w:val="clear"/>
        <w:ind w:firstLine="0" w:firstLineChars="0"/>
        <w:rPr>
          <w:rFonts w:hint="default" w:ascii="Times New Roman" w:hAnsi="Times New Roman" w:eastAsia="宋体" w:cs="Times New Roman"/>
          <w:szCs w:val="28"/>
          <w:highlight w:val="none"/>
          <w:lang w:val="en-US" w:eastAsia="zh-CN"/>
        </w:rPr>
      </w:pPr>
      <w:r>
        <w:rPr>
          <w:rFonts w:hint="eastAsia" w:cs="Times New Roman"/>
          <w:szCs w:val="28"/>
          <w:highlight w:val="none"/>
          <w:lang w:val="en-US" w:eastAsia="zh-CN"/>
        </w:rPr>
        <w:t>5.2.1 装配式建筑工厂应按源流，确定碳排放流向，形成碳排放流向图。应按计算法和实测法要求，确定碳计量采集点，形成碳计量采集点网络图（可分别参考附录A中图A.1、图A.2）。具备各工序独立计量条件的，可形成各工序各自的碳计量采集点网络图。</w:t>
      </w:r>
    </w:p>
    <w:p w14:paraId="7BEB22B0">
      <w:pPr>
        <w:shd w:val="clear"/>
        <w:ind w:firstLine="0" w:firstLineChars="0"/>
        <w:rPr>
          <w:rFonts w:hint="default" w:cs="Times New Roman"/>
          <w:szCs w:val="28"/>
          <w:highlight w:val="none"/>
          <w:lang w:val="en-US" w:eastAsia="zh-CN"/>
        </w:rPr>
      </w:pPr>
      <w:r>
        <w:rPr>
          <w:rFonts w:hint="eastAsia" w:cs="Times New Roman"/>
          <w:szCs w:val="28"/>
          <w:highlight w:val="none"/>
          <w:lang w:val="en-US" w:eastAsia="zh-CN"/>
        </w:rPr>
        <w:t>5.2.2 装配式建筑工厂应根据生产进度，定期对碳排放流向图、碳计量采集点和碳计量器具需要量进行评审，并及时更新以符合实际情况。至少应在每个批次开始前进行一次评审。</w:t>
      </w:r>
    </w:p>
    <w:p w14:paraId="01E8ED52">
      <w:pPr>
        <w:pStyle w:val="16"/>
        <w:widowControl/>
        <w:spacing w:beforeAutospacing="0" w:afterAutospacing="0"/>
        <w:rPr>
          <w:rFonts w:hint="default" w:ascii="Times New Roman" w:hAnsi="Times New Roman" w:cs="Times New Roman"/>
          <w:color w:val="auto"/>
          <w:kern w:val="2"/>
          <w:szCs w:val="24"/>
        </w:rPr>
      </w:pPr>
      <w:r>
        <w:rPr>
          <w:rFonts w:hint="default" w:ascii="Times New Roman" w:hAnsi="Times New Roman" w:cs="Times New Roman"/>
          <w:color w:val="auto"/>
          <w:kern w:val="2"/>
          <w:szCs w:val="24"/>
        </w:rPr>
        <w:t>5.</w:t>
      </w:r>
      <w:r>
        <w:rPr>
          <w:rFonts w:hint="default" w:ascii="Times New Roman" w:hAnsi="Times New Roman" w:cs="Times New Roman"/>
          <w:color w:val="auto"/>
          <w:kern w:val="2"/>
          <w:szCs w:val="24"/>
          <w:lang w:val="en-US" w:eastAsia="zh-CN"/>
        </w:rPr>
        <w:t>2</w:t>
      </w:r>
      <w:r>
        <w:rPr>
          <w:rStyle w:val="21"/>
          <w:rFonts w:hint="default" w:ascii="Times New Roman" w:hAnsi="Times New Roman" w:cs="Times New Roman"/>
          <w:color w:val="auto"/>
          <w:kern w:val="2"/>
          <w:szCs w:val="24"/>
        </w:rPr>
        <w:t>.</w:t>
      </w:r>
      <w:r>
        <w:rPr>
          <w:rStyle w:val="21"/>
          <w:rFonts w:hint="eastAsia" w:cs="Times New Roman"/>
          <w:color w:val="auto"/>
          <w:kern w:val="2"/>
          <w:szCs w:val="24"/>
          <w:lang w:val="en-US" w:eastAsia="zh-CN"/>
        </w:rPr>
        <w:t>3</w:t>
      </w:r>
      <w:r>
        <w:rPr>
          <w:rStyle w:val="21"/>
          <w:rFonts w:hint="default" w:ascii="Times New Roman" w:hAnsi="Times New Roman" w:cs="Times New Roman"/>
          <w:color w:val="auto"/>
          <w:kern w:val="2"/>
          <w:szCs w:val="24"/>
        </w:rPr>
        <w:t xml:space="preserve"> 电力</w:t>
      </w:r>
    </w:p>
    <w:p w14:paraId="3DB19CC9">
      <w:pPr>
        <w:pStyle w:val="16"/>
        <w:widowControl/>
        <w:spacing w:beforeAutospacing="0" w:afterAutospacing="0"/>
        <w:rPr>
          <w:rFonts w:hint="default" w:ascii="Times New Roman" w:hAnsi="Times New Roman" w:cs="Times New Roman"/>
          <w:color w:val="auto"/>
          <w:kern w:val="2"/>
          <w:szCs w:val="24"/>
        </w:rPr>
      </w:pPr>
      <w:r>
        <w:rPr>
          <w:rFonts w:hint="default" w:ascii="Times New Roman" w:hAnsi="Times New Roman" w:cs="Times New Roman"/>
          <w:color w:val="auto"/>
          <w:kern w:val="2"/>
          <w:szCs w:val="24"/>
        </w:rPr>
        <w:t>5.</w:t>
      </w:r>
      <w:r>
        <w:rPr>
          <w:rFonts w:hint="default" w:ascii="Times New Roman" w:hAnsi="Times New Roman" w:cs="Times New Roman"/>
          <w:color w:val="auto"/>
          <w:kern w:val="2"/>
          <w:szCs w:val="24"/>
          <w:lang w:val="en-US" w:eastAsia="zh-CN"/>
        </w:rPr>
        <w:t>2</w:t>
      </w:r>
      <w:r>
        <w:rPr>
          <w:rFonts w:hint="default" w:ascii="Times New Roman" w:hAnsi="Times New Roman" w:cs="Times New Roman"/>
          <w:color w:val="auto"/>
          <w:kern w:val="2"/>
          <w:szCs w:val="24"/>
        </w:rPr>
        <w:t>.</w:t>
      </w:r>
      <w:r>
        <w:rPr>
          <w:rFonts w:hint="eastAsia" w:cs="Times New Roman"/>
          <w:color w:val="auto"/>
          <w:kern w:val="2"/>
          <w:szCs w:val="24"/>
          <w:lang w:val="en-US" w:eastAsia="zh-CN"/>
        </w:rPr>
        <w:t>3</w:t>
      </w:r>
      <w:r>
        <w:rPr>
          <w:rFonts w:hint="default" w:ascii="Times New Roman" w:hAnsi="Times New Roman" w:cs="Times New Roman"/>
          <w:color w:val="auto"/>
          <w:kern w:val="2"/>
          <w:szCs w:val="24"/>
        </w:rPr>
        <w:t>.1 应对</w:t>
      </w:r>
      <w:r>
        <w:rPr>
          <w:rFonts w:hint="eastAsia" w:cs="Times New Roman"/>
          <w:color w:val="auto"/>
          <w:kern w:val="2"/>
          <w:szCs w:val="24"/>
          <w:lang w:val="en-US" w:eastAsia="zh-CN"/>
        </w:rPr>
        <w:t>高于</w:t>
      </w:r>
      <w:r>
        <w:rPr>
          <w:rFonts w:hint="default" w:ascii="Times New Roman" w:hAnsi="Times New Roman" w:cs="Times New Roman"/>
          <w:color w:val="auto"/>
          <w:kern w:val="2"/>
          <w:szCs w:val="24"/>
        </w:rPr>
        <w:t>工厂内</w:t>
      </w:r>
      <w:r>
        <w:rPr>
          <w:rFonts w:hint="eastAsia" w:cs="Times New Roman"/>
          <w:color w:val="auto"/>
          <w:kern w:val="2"/>
          <w:szCs w:val="24"/>
          <w:lang w:val="en-US" w:eastAsia="zh-CN"/>
        </w:rPr>
        <w:t>批次总排放量10%的源流</w:t>
      </w:r>
      <w:r>
        <w:rPr>
          <w:rStyle w:val="21"/>
          <w:rFonts w:hint="default" w:ascii="Times New Roman" w:hAnsi="Times New Roman" w:cs="Times New Roman"/>
          <w:color w:val="auto"/>
          <w:kern w:val="2"/>
          <w:szCs w:val="24"/>
        </w:rPr>
        <w:t>设置</w:t>
      </w:r>
      <w:r>
        <w:rPr>
          <w:rFonts w:hint="default" w:ascii="Times New Roman" w:hAnsi="Times New Roman" w:cs="Times New Roman"/>
          <w:color w:val="auto"/>
          <w:kern w:val="2"/>
          <w:szCs w:val="24"/>
        </w:rPr>
        <w:t>独立的分项电能计量点：</w:t>
      </w:r>
    </w:p>
    <w:p w14:paraId="7127BDA3">
      <w:pPr>
        <w:pStyle w:val="16"/>
        <w:widowControl/>
        <w:spacing w:beforeAutospacing="0" w:afterAutospacing="0"/>
        <w:ind w:firstLine="480" w:firstLineChars="200"/>
        <w:rPr>
          <w:rFonts w:hint="default" w:ascii="Times New Roman" w:hAnsi="Times New Roman" w:cs="Times New Roman"/>
          <w:color w:val="auto"/>
          <w:kern w:val="2"/>
          <w:szCs w:val="24"/>
        </w:rPr>
      </w:pPr>
      <w:r>
        <w:rPr>
          <w:rFonts w:hint="default" w:ascii="Times New Roman" w:hAnsi="Times New Roman" w:cs="Times New Roman"/>
          <w:color w:val="auto"/>
          <w:kern w:val="2"/>
          <w:szCs w:val="24"/>
        </w:rPr>
        <w:t>1) 各主要生产线（如不同加工工序生产线）；</w:t>
      </w:r>
    </w:p>
    <w:p w14:paraId="729BD5A1">
      <w:pPr>
        <w:pStyle w:val="16"/>
        <w:widowControl/>
        <w:spacing w:beforeAutospacing="0" w:afterAutospacing="0"/>
        <w:ind w:firstLine="480" w:firstLineChars="200"/>
        <w:rPr>
          <w:rFonts w:hint="default" w:ascii="Times New Roman" w:hAnsi="Times New Roman" w:cs="Times New Roman"/>
          <w:color w:val="auto"/>
          <w:kern w:val="2"/>
          <w:szCs w:val="24"/>
        </w:rPr>
      </w:pPr>
      <w:r>
        <w:rPr>
          <w:rFonts w:hint="default" w:ascii="Times New Roman" w:hAnsi="Times New Roman" w:cs="Times New Roman"/>
          <w:color w:val="auto"/>
          <w:kern w:val="2"/>
          <w:szCs w:val="24"/>
        </w:rPr>
        <w:t>2) 关键高</w:t>
      </w:r>
      <w:r>
        <w:rPr>
          <w:rFonts w:hint="eastAsia" w:cs="Times New Roman"/>
          <w:color w:val="auto"/>
          <w:kern w:val="2"/>
          <w:szCs w:val="24"/>
          <w:lang w:val="en-US" w:eastAsia="zh-CN"/>
        </w:rPr>
        <w:t>排放</w:t>
      </w:r>
      <w:r>
        <w:rPr>
          <w:rFonts w:hint="default" w:ascii="Times New Roman" w:hAnsi="Times New Roman" w:cs="Times New Roman"/>
          <w:color w:val="auto"/>
          <w:kern w:val="2"/>
          <w:szCs w:val="24"/>
        </w:rPr>
        <w:t>工艺设备（如大型焊接设备、木材干燥窑、混凝土搅拌站、蒸汽/电养护设施、大型空压机、涂装线等）；</w:t>
      </w:r>
    </w:p>
    <w:p w14:paraId="03F39BA0">
      <w:pPr>
        <w:pStyle w:val="16"/>
        <w:widowControl/>
        <w:spacing w:beforeAutospacing="0" w:afterAutospacing="0"/>
        <w:ind w:firstLine="480" w:firstLineChars="200"/>
        <w:rPr>
          <w:rFonts w:hint="default" w:ascii="Times New Roman" w:hAnsi="Times New Roman" w:cs="Times New Roman"/>
          <w:color w:val="auto"/>
          <w:kern w:val="2"/>
          <w:szCs w:val="24"/>
        </w:rPr>
      </w:pPr>
      <w:r>
        <w:rPr>
          <w:rFonts w:hint="default" w:ascii="Times New Roman" w:hAnsi="Times New Roman" w:cs="Times New Roman"/>
          <w:color w:val="auto"/>
          <w:kern w:val="2"/>
          <w:szCs w:val="24"/>
        </w:rPr>
        <w:t>3) 主要的公共辅助设施（如全厂照明、生产区空调通风、办公区空调等，若</w:t>
      </w:r>
      <w:r>
        <w:rPr>
          <w:rFonts w:hint="eastAsia" w:cs="Times New Roman"/>
          <w:color w:val="auto"/>
          <w:kern w:val="2"/>
          <w:szCs w:val="24"/>
          <w:lang w:val="en-US" w:eastAsia="zh-CN"/>
        </w:rPr>
        <w:t>排放</w:t>
      </w:r>
      <w:r>
        <w:rPr>
          <w:rFonts w:hint="default" w:ascii="Times New Roman" w:hAnsi="Times New Roman" w:cs="Times New Roman"/>
          <w:color w:val="auto"/>
          <w:kern w:val="2"/>
          <w:szCs w:val="24"/>
        </w:rPr>
        <w:t>较大且可独立计量）；</w:t>
      </w:r>
    </w:p>
    <w:p w14:paraId="264FD02E">
      <w:pPr>
        <w:pStyle w:val="16"/>
        <w:widowControl/>
        <w:spacing w:beforeAutospacing="0" w:afterAutospacing="0"/>
        <w:ind w:firstLine="480" w:firstLineChars="200"/>
        <w:rPr>
          <w:rFonts w:hint="default" w:ascii="Times New Roman" w:hAnsi="Times New Roman" w:cs="Times New Roman"/>
          <w:color w:val="auto"/>
          <w:kern w:val="2"/>
          <w:szCs w:val="24"/>
        </w:rPr>
      </w:pPr>
      <w:r>
        <w:rPr>
          <w:rFonts w:hint="default" w:ascii="Times New Roman" w:hAnsi="Times New Roman" w:cs="Times New Roman"/>
          <w:color w:val="auto"/>
          <w:kern w:val="2"/>
          <w:szCs w:val="24"/>
        </w:rPr>
        <w:t>4) 主要的移动式电力设备。</w:t>
      </w:r>
    </w:p>
    <w:p w14:paraId="287C23BD">
      <w:pPr>
        <w:pStyle w:val="16"/>
        <w:widowControl/>
        <w:spacing w:beforeAutospacing="0" w:afterAutospacing="0"/>
        <w:rPr>
          <w:rFonts w:hint="default" w:ascii="Times New Roman" w:hAnsi="Times New Roman" w:cs="Times New Roman"/>
          <w:color w:val="auto"/>
          <w:kern w:val="2"/>
          <w:szCs w:val="24"/>
        </w:rPr>
      </w:pPr>
      <w:r>
        <w:rPr>
          <w:rFonts w:hint="default" w:ascii="Times New Roman" w:hAnsi="Times New Roman" w:cs="Times New Roman"/>
          <w:color w:val="auto"/>
          <w:kern w:val="2"/>
          <w:szCs w:val="24"/>
        </w:rPr>
        <w:t>5.</w:t>
      </w:r>
      <w:r>
        <w:rPr>
          <w:rFonts w:hint="default" w:ascii="Times New Roman" w:hAnsi="Times New Roman" w:cs="Times New Roman"/>
          <w:color w:val="auto"/>
          <w:kern w:val="2"/>
          <w:szCs w:val="24"/>
          <w:lang w:val="en-US" w:eastAsia="zh-CN"/>
        </w:rPr>
        <w:t>2</w:t>
      </w:r>
      <w:r>
        <w:rPr>
          <w:rFonts w:hint="default" w:ascii="Times New Roman" w:hAnsi="Times New Roman" w:cs="Times New Roman"/>
          <w:color w:val="auto"/>
          <w:kern w:val="2"/>
          <w:szCs w:val="24"/>
        </w:rPr>
        <w:t>.</w:t>
      </w:r>
      <w:r>
        <w:rPr>
          <w:rFonts w:hint="eastAsia" w:cs="Times New Roman"/>
          <w:color w:val="auto"/>
          <w:kern w:val="2"/>
          <w:szCs w:val="24"/>
          <w:lang w:val="en-US" w:eastAsia="zh-CN"/>
        </w:rPr>
        <w:t>3</w:t>
      </w:r>
      <w:r>
        <w:rPr>
          <w:rFonts w:hint="default" w:ascii="Times New Roman" w:hAnsi="Times New Roman" w:cs="Times New Roman"/>
          <w:color w:val="auto"/>
          <w:kern w:val="2"/>
          <w:szCs w:val="24"/>
        </w:rPr>
        <w:t>.2 固定设备</w:t>
      </w:r>
      <w:r>
        <w:rPr>
          <w:rStyle w:val="21"/>
          <w:rFonts w:hint="default" w:ascii="Times New Roman" w:hAnsi="Times New Roman" w:cs="Times New Roman"/>
          <w:color w:val="auto"/>
          <w:kern w:val="2"/>
          <w:szCs w:val="24"/>
        </w:rPr>
        <w:t>布点</w:t>
      </w:r>
      <w:r>
        <w:rPr>
          <w:rFonts w:hint="default" w:ascii="Times New Roman" w:hAnsi="Times New Roman" w:cs="Times New Roman"/>
          <w:color w:val="auto"/>
          <w:kern w:val="2"/>
          <w:szCs w:val="24"/>
        </w:rPr>
        <w:t>要求</w:t>
      </w:r>
      <w:r>
        <w:rPr>
          <w:rStyle w:val="21"/>
          <w:rFonts w:hint="default" w:ascii="Times New Roman" w:hAnsi="Times New Roman" w:cs="Times New Roman"/>
          <w:color w:val="auto"/>
          <w:kern w:val="2"/>
          <w:szCs w:val="24"/>
        </w:rPr>
        <w:t>：</w:t>
      </w:r>
      <w:r>
        <w:rPr>
          <w:rFonts w:hint="default" w:ascii="Times New Roman" w:hAnsi="Times New Roman" w:cs="Times New Roman"/>
          <w:color w:val="auto"/>
          <w:kern w:val="2"/>
          <w:szCs w:val="24"/>
        </w:rPr>
        <w:t>电力计量点</w:t>
      </w:r>
      <w:r>
        <w:rPr>
          <w:rStyle w:val="21"/>
          <w:rFonts w:hint="default" w:ascii="Times New Roman" w:hAnsi="Times New Roman" w:cs="Times New Roman"/>
          <w:color w:val="auto"/>
          <w:kern w:val="2"/>
          <w:szCs w:val="24"/>
        </w:rPr>
        <w:t>应</w:t>
      </w:r>
      <w:r>
        <w:rPr>
          <w:rFonts w:hint="default" w:ascii="Times New Roman" w:hAnsi="Times New Roman" w:cs="Times New Roman"/>
          <w:color w:val="auto"/>
          <w:kern w:val="2"/>
          <w:szCs w:val="24"/>
        </w:rPr>
        <w:t>布设在能够准确反映被计量单元（生产线、设备、区域）消耗电量的供电回路。</w:t>
      </w:r>
    </w:p>
    <w:p w14:paraId="185F85C6">
      <w:pPr>
        <w:pStyle w:val="16"/>
        <w:widowControl/>
        <w:spacing w:beforeAutospacing="0" w:afterAutospacing="0"/>
        <w:rPr>
          <w:rFonts w:hint="default" w:ascii="Times New Roman" w:hAnsi="Times New Roman" w:cs="Times New Roman"/>
          <w:color w:val="auto"/>
          <w:kern w:val="2"/>
          <w:szCs w:val="24"/>
        </w:rPr>
      </w:pPr>
      <w:r>
        <w:rPr>
          <w:rFonts w:hint="default" w:ascii="Times New Roman" w:hAnsi="Times New Roman" w:cs="Times New Roman"/>
          <w:color w:val="auto"/>
          <w:kern w:val="2"/>
          <w:szCs w:val="24"/>
        </w:rPr>
        <w:t>5.</w:t>
      </w:r>
      <w:r>
        <w:rPr>
          <w:rFonts w:hint="default" w:ascii="Times New Roman" w:hAnsi="Times New Roman" w:cs="Times New Roman"/>
          <w:color w:val="auto"/>
          <w:kern w:val="2"/>
          <w:szCs w:val="24"/>
          <w:lang w:val="en-US" w:eastAsia="zh-CN"/>
        </w:rPr>
        <w:t>2</w:t>
      </w:r>
      <w:r>
        <w:rPr>
          <w:rFonts w:hint="default" w:ascii="Times New Roman" w:hAnsi="Times New Roman" w:cs="Times New Roman"/>
          <w:color w:val="auto"/>
          <w:kern w:val="2"/>
          <w:szCs w:val="24"/>
        </w:rPr>
        <w:t>.</w:t>
      </w:r>
      <w:r>
        <w:rPr>
          <w:rFonts w:hint="eastAsia" w:cs="Times New Roman"/>
          <w:color w:val="auto"/>
          <w:kern w:val="2"/>
          <w:szCs w:val="24"/>
          <w:lang w:val="en-US" w:eastAsia="zh-CN"/>
        </w:rPr>
        <w:t>3</w:t>
      </w:r>
      <w:r>
        <w:rPr>
          <w:rFonts w:hint="default" w:ascii="Times New Roman" w:hAnsi="Times New Roman" w:cs="Times New Roman"/>
          <w:color w:val="auto"/>
          <w:kern w:val="2"/>
          <w:szCs w:val="24"/>
        </w:rPr>
        <w:t xml:space="preserve">.3 </w:t>
      </w:r>
      <w:r>
        <w:rPr>
          <w:rStyle w:val="21"/>
          <w:rFonts w:hint="default" w:ascii="Times New Roman" w:hAnsi="Times New Roman" w:cs="Times New Roman"/>
          <w:color w:val="auto"/>
          <w:kern w:val="2"/>
          <w:szCs w:val="24"/>
        </w:rPr>
        <w:t>移动设备</w:t>
      </w:r>
      <w:r>
        <w:rPr>
          <w:rFonts w:hint="default" w:ascii="Times New Roman" w:hAnsi="Times New Roman" w:cs="Times New Roman"/>
          <w:color w:val="auto"/>
          <w:kern w:val="2"/>
          <w:szCs w:val="24"/>
        </w:rPr>
        <w:t>布点要求</w:t>
      </w:r>
      <w:r>
        <w:rPr>
          <w:rStyle w:val="21"/>
          <w:rFonts w:hint="default" w:ascii="Times New Roman" w:hAnsi="Times New Roman" w:cs="Times New Roman"/>
          <w:color w:val="auto"/>
          <w:kern w:val="2"/>
          <w:szCs w:val="24"/>
        </w:rPr>
        <w:t>：</w:t>
      </w:r>
      <w:r>
        <w:rPr>
          <w:rFonts w:hint="default" w:ascii="Times New Roman" w:hAnsi="Times New Roman" w:cs="Times New Roman"/>
          <w:color w:val="auto"/>
          <w:kern w:val="2"/>
          <w:szCs w:val="24"/>
        </w:rPr>
        <w:t>对于厂内使用的移动式电动设备（如电瓶叉车、无轨电动地平车等），</w:t>
      </w:r>
      <w:r>
        <w:rPr>
          <w:rStyle w:val="21"/>
          <w:rFonts w:hint="default" w:ascii="Times New Roman" w:hAnsi="Times New Roman" w:cs="Times New Roman"/>
          <w:color w:val="auto"/>
          <w:kern w:val="2"/>
          <w:szCs w:val="24"/>
        </w:rPr>
        <w:t>宜</w:t>
      </w:r>
      <w:r>
        <w:rPr>
          <w:rFonts w:hint="default" w:ascii="Times New Roman" w:hAnsi="Times New Roman" w:cs="Times New Roman"/>
          <w:color w:val="auto"/>
          <w:kern w:val="2"/>
          <w:szCs w:val="24"/>
        </w:rPr>
        <w:t>通过充电桩计量其充电量，或建立运行时间、行驶里程、作业量与其</w:t>
      </w:r>
      <w:r>
        <w:rPr>
          <w:rFonts w:hint="eastAsia" w:cs="Times New Roman"/>
          <w:color w:val="auto"/>
          <w:kern w:val="2"/>
          <w:szCs w:val="24"/>
          <w:lang w:eastAsia="zh-CN"/>
        </w:rPr>
        <w:t>排放</w:t>
      </w:r>
      <w:r>
        <w:rPr>
          <w:rFonts w:hint="default" w:ascii="Times New Roman" w:hAnsi="Times New Roman" w:cs="Times New Roman"/>
          <w:color w:val="auto"/>
          <w:kern w:val="2"/>
          <w:szCs w:val="24"/>
        </w:rPr>
        <w:t>关系的可靠记录与计量方法。</w:t>
      </w:r>
    </w:p>
    <w:p w14:paraId="3F4971C4">
      <w:pPr>
        <w:pStyle w:val="16"/>
        <w:widowControl/>
        <w:spacing w:beforeAutospacing="0" w:afterAutospacing="0"/>
        <w:rPr>
          <w:rFonts w:hint="default" w:ascii="Times New Roman" w:hAnsi="Times New Roman" w:cs="Times New Roman"/>
          <w:color w:val="auto"/>
          <w:kern w:val="2"/>
          <w:szCs w:val="24"/>
        </w:rPr>
      </w:pPr>
      <w:r>
        <w:rPr>
          <w:rFonts w:hint="default" w:ascii="Times New Roman" w:hAnsi="Times New Roman" w:cs="Times New Roman"/>
          <w:color w:val="auto"/>
          <w:kern w:val="2"/>
          <w:szCs w:val="24"/>
        </w:rPr>
        <w:t>5.</w:t>
      </w:r>
      <w:r>
        <w:rPr>
          <w:rFonts w:hint="default" w:ascii="Times New Roman" w:hAnsi="Times New Roman" w:cs="Times New Roman"/>
          <w:color w:val="auto"/>
          <w:kern w:val="2"/>
          <w:szCs w:val="24"/>
          <w:lang w:val="en-US" w:eastAsia="zh-CN"/>
        </w:rPr>
        <w:t>2</w:t>
      </w:r>
      <w:r>
        <w:rPr>
          <w:rStyle w:val="21"/>
          <w:rFonts w:hint="default" w:ascii="Times New Roman" w:hAnsi="Times New Roman" w:cs="Times New Roman"/>
          <w:color w:val="auto"/>
          <w:kern w:val="2"/>
          <w:szCs w:val="24"/>
        </w:rPr>
        <w:t>.</w:t>
      </w:r>
      <w:r>
        <w:rPr>
          <w:rStyle w:val="21"/>
          <w:rFonts w:hint="eastAsia" w:cs="Times New Roman"/>
          <w:color w:val="auto"/>
          <w:kern w:val="2"/>
          <w:szCs w:val="24"/>
          <w:lang w:val="en-US" w:eastAsia="zh-CN"/>
        </w:rPr>
        <w:t>4</w:t>
      </w:r>
      <w:r>
        <w:rPr>
          <w:rStyle w:val="21"/>
          <w:rFonts w:hint="default" w:ascii="Times New Roman" w:hAnsi="Times New Roman" w:cs="Times New Roman"/>
          <w:color w:val="auto"/>
          <w:kern w:val="2"/>
          <w:szCs w:val="24"/>
        </w:rPr>
        <w:t xml:space="preserve"> 化石燃料</w:t>
      </w:r>
    </w:p>
    <w:p w14:paraId="499BF9B8">
      <w:pPr>
        <w:pStyle w:val="16"/>
        <w:widowControl/>
        <w:spacing w:beforeAutospacing="0" w:afterAutospacing="0"/>
        <w:rPr>
          <w:rFonts w:hint="default" w:ascii="Times New Roman" w:hAnsi="Times New Roman" w:cs="Times New Roman"/>
          <w:color w:val="auto"/>
          <w:kern w:val="2"/>
          <w:szCs w:val="24"/>
        </w:rPr>
      </w:pPr>
      <w:r>
        <w:rPr>
          <w:rFonts w:hint="default" w:ascii="Times New Roman" w:hAnsi="Times New Roman" w:cs="Times New Roman"/>
          <w:color w:val="auto"/>
          <w:kern w:val="2"/>
          <w:szCs w:val="24"/>
        </w:rPr>
        <w:t>5.</w:t>
      </w:r>
      <w:r>
        <w:rPr>
          <w:rFonts w:hint="default" w:ascii="Times New Roman" w:hAnsi="Times New Roman" w:cs="Times New Roman"/>
          <w:color w:val="auto"/>
          <w:kern w:val="2"/>
          <w:szCs w:val="24"/>
          <w:lang w:val="en-US" w:eastAsia="zh-CN"/>
        </w:rPr>
        <w:t>2</w:t>
      </w:r>
      <w:r>
        <w:rPr>
          <w:rFonts w:hint="default" w:ascii="Times New Roman" w:hAnsi="Times New Roman" w:cs="Times New Roman"/>
          <w:color w:val="auto"/>
          <w:kern w:val="2"/>
          <w:szCs w:val="24"/>
        </w:rPr>
        <w:t>.</w:t>
      </w:r>
      <w:r>
        <w:rPr>
          <w:rFonts w:hint="eastAsia" w:cs="Times New Roman"/>
          <w:color w:val="auto"/>
          <w:kern w:val="2"/>
          <w:szCs w:val="24"/>
          <w:lang w:val="en-US" w:eastAsia="zh-CN"/>
        </w:rPr>
        <w:t>4</w:t>
      </w:r>
      <w:r>
        <w:rPr>
          <w:rFonts w:hint="default" w:ascii="Times New Roman" w:hAnsi="Times New Roman" w:cs="Times New Roman"/>
          <w:color w:val="auto"/>
          <w:kern w:val="2"/>
          <w:szCs w:val="24"/>
        </w:rPr>
        <w:t>.1 应对</w:t>
      </w:r>
      <w:r>
        <w:rPr>
          <w:rFonts w:hint="eastAsia" w:cs="Times New Roman"/>
          <w:color w:val="auto"/>
          <w:kern w:val="2"/>
          <w:szCs w:val="24"/>
          <w:lang w:val="en-US" w:eastAsia="zh-CN"/>
        </w:rPr>
        <w:t>高于</w:t>
      </w:r>
      <w:r>
        <w:rPr>
          <w:rFonts w:hint="default" w:ascii="Times New Roman" w:hAnsi="Times New Roman" w:cs="Times New Roman"/>
          <w:color w:val="auto"/>
          <w:kern w:val="2"/>
          <w:szCs w:val="24"/>
        </w:rPr>
        <w:t>工厂内</w:t>
      </w:r>
      <w:r>
        <w:rPr>
          <w:rFonts w:hint="eastAsia" w:cs="Times New Roman"/>
          <w:color w:val="auto"/>
          <w:kern w:val="2"/>
          <w:szCs w:val="24"/>
          <w:lang w:val="en-US" w:eastAsia="zh-CN"/>
        </w:rPr>
        <w:t>批次总排放量10%的源流</w:t>
      </w:r>
      <w:r>
        <w:rPr>
          <w:rStyle w:val="21"/>
          <w:rFonts w:hint="default" w:ascii="Times New Roman" w:hAnsi="Times New Roman" w:cs="Times New Roman"/>
          <w:color w:val="auto"/>
          <w:kern w:val="2"/>
          <w:szCs w:val="24"/>
        </w:rPr>
        <w:t>设置</w:t>
      </w:r>
      <w:r>
        <w:rPr>
          <w:rFonts w:hint="default" w:ascii="Times New Roman" w:hAnsi="Times New Roman" w:cs="Times New Roman"/>
          <w:color w:val="auto"/>
          <w:kern w:val="2"/>
          <w:szCs w:val="24"/>
        </w:rPr>
        <w:t>独立的燃料计量点：</w:t>
      </w:r>
    </w:p>
    <w:p w14:paraId="5B01CCD7">
      <w:pPr>
        <w:pStyle w:val="16"/>
        <w:widowControl/>
        <w:spacing w:beforeAutospacing="0" w:afterAutospacing="0"/>
        <w:ind w:firstLine="480" w:firstLineChars="200"/>
        <w:rPr>
          <w:rFonts w:hint="default" w:ascii="Times New Roman" w:hAnsi="Times New Roman" w:cs="Times New Roman"/>
          <w:color w:val="auto"/>
          <w:kern w:val="2"/>
          <w:szCs w:val="24"/>
        </w:rPr>
      </w:pPr>
      <w:r>
        <w:rPr>
          <w:rFonts w:hint="default" w:ascii="Times New Roman" w:hAnsi="Times New Roman" w:cs="Times New Roman"/>
          <w:color w:val="auto"/>
          <w:kern w:val="2"/>
          <w:szCs w:val="24"/>
        </w:rPr>
        <w:t>1) 燃料锅炉（用于供暖、提供工艺蒸汽/热水）；</w:t>
      </w:r>
    </w:p>
    <w:p w14:paraId="3BA8AD84">
      <w:pPr>
        <w:pStyle w:val="16"/>
        <w:widowControl/>
        <w:spacing w:beforeAutospacing="0" w:afterAutospacing="0"/>
        <w:ind w:firstLine="480" w:firstLineChars="200"/>
        <w:rPr>
          <w:rFonts w:hint="default" w:ascii="Times New Roman" w:hAnsi="Times New Roman" w:cs="Times New Roman"/>
          <w:color w:val="auto"/>
          <w:kern w:val="2"/>
          <w:szCs w:val="24"/>
        </w:rPr>
      </w:pPr>
      <w:r>
        <w:rPr>
          <w:rFonts w:hint="default" w:ascii="Times New Roman" w:hAnsi="Times New Roman" w:cs="Times New Roman"/>
          <w:color w:val="auto"/>
          <w:kern w:val="2"/>
          <w:szCs w:val="24"/>
        </w:rPr>
        <w:t>2) 燃料加热炉或烘箱（用于干燥、固化、热处理等）；</w:t>
      </w:r>
    </w:p>
    <w:p w14:paraId="096D928E">
      <w:pPr>
        <w:pStyle w:val="16"/>
        <w:widowControl/>
        <w:spacing w:beforeAutospacing="0" w:afterAutospacing="0"/>
        <w:ind w:firstLine="480" w:firstLineChars="200"/>
        <w:rPr>
          <w:rFonts w:hint="default" w:ascii="Times New Roman" w:hAnsi="Times New Roman" w:cs="Times New Roman"/>
          <w:color w:val="auto"/>
          <w:kern w:val="2"/>
          <w:szCs w:val="24"/>
        </w:rPr>
      </w:pPr>
      <w:r>
        <w:rPr>
          <w:rFonts w:hint="default" w:ascii="Times New Roman" w:hAnsi="Times New Roman" w:cs="Times New Roman"/>
          <w:color w:val="auto"/>
          <w:kern w:val="2"/>
          <w:szCs w:val="24"/>
        </w:rPr>
        <w:t>3) 使用燃料的固定式发电机（若有）；</w:t>
      </w:r>
    </w:p>
    <w:p w14:paraId="60454F6B">
      <w:pPr>
        <w:pStyle w:val="16"/>
        <w:widowControl/>
        <w:spacing w:beforeAutospacing="0" w:afterAutospacing="0"/>
        <w:ind w:firstLine="480" w:firstLineChars="200"/>
        <w:rPr>
          <w:rFonts w:hint="default" w:ascii="Times New Roman" w:hAnsi="Times New Roman" w:cs="Times New Roman"/>
          <w:color w:val="auto"/>
          <w:kern w:val="2"/>
          <w:szCs w:val="24"/>
        </w:rPr>
      </w:pPr>
      <w:r>
        <w:rPr>
          <w:rFonts w:hint="default" w:ascii="Times New Roman" w:hAnsi="Times New Roman" w:cs="Times New Roman"/>
          <w:color w:val="auto"/>
          <w:kern w:val="2"/>
          <w:szCs w:val="24"/>
        </w:rPr>
        <w:t>4) 主要的移动式燃油设备。</w:t>
      </w:r>
    </w:p>
    <w:p w14:paraId="44F9C246">
      <w:pPr>
        <w:pStyle w:val="16"/>
        <w:widowControl/>
        <w:spacing w:beforeAutospacing="0" w:afterAutospacing="0"/>
        <w:rPr>
          <w:rFonts w:hint="default" w:ascii="Times New Roman" w:hAnsi="Times New Roman" w:cs="Times New Roman"/>
          <w:color w:val="auto"/>
          <w:kern w:val="2"/>
          <w:szCs w:val="24"/>
        </w:rPr>
      </w:pPr>
      <w:r>
        <w:rPr>
          <w:rFonts w:hint="default" w:ascii="Times New Roman" w:hAnsi="Times New Roman" w:cs="Times New Roman"/>
          <w:color w:val="auto"/>
          <w:kern w:val="2"/>
          <w:szCs w:val="24"/>
        </w:rPr>
        <w:t>5.</w:t>
      </w:r>
      <w:r>
        <w:rPr>
          <w:rFonts w:hint="default" w:ascii="Times New Roman" w:hAnsi="Times New Roman" w:cs="Times New Roman"/>
          <w:color w:val="auto"/>
          <w:kern w:val="2"/>
          <w:szCs w:val="24"/>
          <w:lang w:val="en-US" w:eastAsia="zh-CN"/>
        </w:rPr>
        <w:t>2</w:t>
      </w:r>
      <w:r>
        <w:rPr>
          <w:rFonts w:hint="default" w:ascii="Times New Roman" w:hAnsi="Times New Roman" w:cs="Times New Roman"/>
          <w:color w:val="auto"/>
          <w:kern w:val="2"/>
          <w:szCs w:val="24"/>
        </w:rPr>
        <w:t>.</w:t>
      </w:r>
      <w:r>
        <w:rPr>
          <w:rFonts w:hint="eastAsia" w:cs="Times New Roman"/>
          <w:color w:val="auto"/>
          <w:kern w:val="2"/>
          <w:szCs w:val="24"/>
          <w:lang w:val="en-US" w:eastAsia="zh-CN"/>
        </w:rPr>
        <w:t>4</w:t>
      </w:r>
      <w:r>
        <w:rPr>
          <w:rFonts w:hint="default" w:ascii="Times New Roman" w:hAnsi="Times New Roman" w:cs="Times New Roman"/>
          <w:color w:val="auto"/>
          <w:kern w:val="2"/>
          <w:szCs w:val="24"/>
        </w:rPr>
        <w:t>.2 固定设备布点要求</w:t>
      </w:r>
      <w:r>
        <w:rPr>
          <w:rStyle w:val="21"/>
          <w:rFonts w:hint="default" w:ascii="Times New Roman" w:hAnsi="Times New Roman" w:cs="Times New Roman"/>
          <w:color w:val="auto"/>
          <w:kern w:val="2"/>
          <w:szCs w:val="24"/>
        </w:rPr>
        <w:t>：</w:t>
      </w:r>
    </w:p>
    <w:p w14:paraId="43BB9B5F">
      <w:pPr>
        <w:pStyle w:val="16"/>
        <w:widowControl/>
        <w:spacing w:beforeAutospacing="0" w:afterAutospacing="0"/>
        <w:ind w:firstLine="480" w:firstLineChars="200"/>
        <w:rPr>
          <w:rFonts w:hint="default" w:ascii="Times New Roman" w:hAnsi="Times New Roman" w:cs="Times New Roman"/>
          <w:color w:val="auto"/>
          <w:kern w:val="2"/>
          <w:szCs w:val="24"/>
        </w:rPr>
      </w:pPr>
      <w:r>
        <w:rPr>
          <w:rFonts w:hint="default" w:ascii="Times New Roman" w:hAnsi="Times New Roman" w:cs="Times New Roman"/>
          <w:color w:val="auto"/>
          <w:kern w:val="2"/>
          <w:szCs w:val="24"/>
        </w:rPr>
        <w:t>1) 对于管道输送的燃料（如天然气），计量点</w:t>
      </w:r>
      <w:r>
        <w:rPr>
          <w:rStyle w:val="21"/>
          <w:rFonts w:hint="default" w:ascii="Times New Roman" w:hAnsi="Times New Roman" w:cs="Times New Roman"/>
          <w:color w:val="auto"/>
          <w:kern w:val="2"/>
          <w:szCs w:val="24"/>
        </w:rPr>
        <w:t>应</w:t>
      </w:r>
      <w:r>
        <w:rPr>
          <w:rFonts w:hint="default" w:ascii="Times New Roman" w:hAnsi="Times New Roman" w:cs="Times New Roman"/>
          <w:color w:val="auto"/>
          <w:kern w:val="2"/>
          <w:szCs w:val="24"/>
        </w:rPr>
        <w:t>设置在进入用能设备前的供气支管上。</w:t>
      </w:r>
    </w:p>
    <w:p w14:paraId="63014C5D">
      <w:pPr>
        <w:pStyle w:val="16"/>
        <w:widowControl/>
        <w:spacing w:beforeAutospacing="0" w:afterAutospacing="0"/>
        <w:ind w:firstLine="480" w:firstLineChars="200"/>
        <w:rPr>
          <w:rFonts w:hint="default" w:ascii="Times New Roman" w:hAnsi="Times New Roman" w:cs="Times New Roman"/>
          <w:color w:val="auto"/>
          <w:kern w:val="2"/>
          <w:szCs w:val="24"/>
        </w:rPr>
      </w:pPr>
      <w:r>
        <w:rPr>
          <w:rFonts w:hint="default" w:ascii="Times New Roman" w:hAnsi="Times New Roman" w:cs="Times New Roman"/>
          <w:color w:val="auto"/>
          <w:kern w:val="2"/>
          <w:szCs w:val="24"/>
        </w:rPr>
        <w:t>2) 对于依靠储罐供应的液体燃料（如柴油、LPG等），计量点</w:t>
      </w:r>
      <w:r>
        <w:rPr>
          <w:rStyle w:val="21"/>
          <w:rFonts w:hint="default" w:ascii="Times New Roman" w:hAnsi="Times New Roman" w:cs="Times New Roman"/>
          <w:color w:val="auto"/>
          <w:kern w:val="2"/>
          <w:szCs w:val="24"/>
        </w:rPr>
        <w:t>应</w:t>
      </w:r>
      <w:r>
        <w:rPr>
          <w:rFonts w:hint="default" w:ascii="Times New Roman" w:hAnsi="Times New Roman" w:cs="Times New Roman"/>
          <w:color w:val="auto"/>
          <w:kern w:val="2"/>
          <w:szCs w:val="24"/>
        </w:rPr>
        <w:t>具备可靠计量储罐消耗量的能力（如精确液位计结合标定容积</w:t>
      </w:r>
      <w:r>
        <w:rPr>
          <w:rFonts w:hint="default" w:ascii="Times New Roman" w:hAnsi="Times New Roman" w:cs="Times New Roman"/>
          <w:color w:val="auto"/>
          <w:kern w:val="2"/>
          <w:szCs w:val="24"/>
          <w:lang w:eastAsia="zh-CN"/>
        </w:rPr>
        <w:t>或</w:t>
      </w:r>
      <w:r>
        <w:rPr>
          <w:rFonts w:hint="default" w:ascii="Times New Roman" w:hAnsi="Times New Roman" w:cs="Times New Roman"/>
          <w:color w:val="auto"/>
          <w:kern w:val="2"/>
          <w:szCs w:val="24"/>
        </w:rPr>
        <w:t>出口流量计），或在使用点安装流量计。</w:t>
      </w:r>
    </w:p>
    <w:p w14:paraId="7248472D">
      <w:pPr>
        <w:pStyle w:val="16"/>
        <w:widowControl/>
        <w:spacing w:beforeAutospacing="0" w:afterAutospacing="0"/>
        <w:rPr>
          <w:rFonts w:hint="default" w:ascii="Times New Roman" w:hAnsi="Times New Roman" w:cs="Times New Roman"/>
          <w:color w:val="auto"/>
          <w:kern w:val="2"/>
          <w:szCs w:val="24"/>
        </w:rPr>
      </w:pPr>
      <w:r>
        <w:rPr>
          <w:rFonts w:hint="default" w:ascii="Times New Roman" w:hAnsi="Times New Roman" w:cs="Times New Roman"/>
          <w:color w:val="auto"/>
          <w:kern w:val="2"/>
          <w:szCs w:val="24"/>
        </w:rPr>
        <w:t>5.</w:t>
      </w:r>
      <w:r>
        <w:rPr>
          <w:rFonts w:hint="default" w:ascii="Times New Roman" w:hAnsi="Times New Roman" w:cs="Times New Roman"/>
          <w:color w:val="auto"/>
          <w:kern w:val="2"/>
          <w:szCs w:val="24"/>
          <w:lang w:val="en-US" w:eastAsia="zh-CN"/>
        </w:rPr>
        <w:t>2</w:t>
      </w:r>
      <w:r>
        <w:rPr>
          <w:rFonts w:hint="default" w:ascii="Times New Roman" w:hAnsi="Times New Roman" w:cs="Times New Roman"/>
          <w:color w:val="auto"/>
          <w:kern w:val="2"/>
          <w:szCs w:val="24"/>
        </w:rPr>
        <w:t>.</w:t>
      </w:r>
      <w:r>
        <w:rPr>
          <w:rFonts w:hint="eastAsia" w:cs="Times New Roman"/>
          <w:color w:val="auto"/>
          <w:kern w:val="2"/>
          <w:szCs w:val="24"/>
          <w:lang w:val="en-US" w:eastAsia="zh-CN"/>
        </w:rPr>
        <w:t>4</w:t>
      </w:r>
      <w:r>
        <w:rPr>
          <w:rFonts w:hint="default" w:ascii="Times New Roman" w:hAnsi="Times New Roman" w:cs="Times New Roman"/>
          <w:color w:val="auto"/>
          <w:kern w:val="2"/>
          <w:szCs w:val="24"/>
        </w:rPr>
        <w:t>.3 移动设备布点要求：对于移动设备（如燃油叉车、移动吊车等），</w:t>
      </w:r>
      <w:r>
        <w:rPr>
          <w:rStyle w:val="21"/>
          <w:rFonts w:hint="default" w:ascii="Times New Roman" w:hAnsi="Times New Roman" w:cs="Times New Roman"/>
          <w:color w:val="auto"/>
          <w:kern w:val="2"/>
          <w:szCs w:val="24"/>
        </w:rPr>
        <w:t>应</w:t>
      </w:r>
      <w:r>
        <w:rPr>
          <w:rFonts w:hint="default" w:ascii="Times New Roman" w:hAnsi="Times New Roman" w:cs="Times New Roman"/>
          <w:color w:val="auto"/>
          <w:kern w:val="2"/>
          <w:szCs w:val="24"/>
        </w:rPr>
        <w:t>建立准确的加油量记录或燃料消耗量计量体系。</w:t>
      </w:r>
    </w:p>
    <w:p w14:paraId="3F259CA9">
      <w:pPr>
        <w:pStyle w:val="16"/>
        <w:widowControl/>
        <w:spacing w:beforeAutospacing="0" w:afterAutospacing="0"/>
        <w:rPr>
          <w:rFonts w:hint="default" w:ascii="Times New Roman" w:hAnsi="Times New Roman" w:cs="Times New Roman"/>
          <w:color w:val="auto"/>
          <w:kern w:val="2"/>
          <w:szCs w:val="24"/>
        </w:rPr>
      </w:pPr>
      <w:r>
        <w:rPr>
          <w:rFonts w:hint="default" w:ascii="Times New Roman" w:hAnsi="Times New Roman" w:cs="Times New Roman"/>
          <w:color w:val="auto"/>
          <w:kern w:val="2"/>
          <w:szCs w:val="24"/>
        </w:rPr>
        <w:t>5.</w:t>
      </w:r>
      <w:r>
        <w:rPr>
          <w:rFonts w:hint="default" w:ascii="Times New Roman" w:hAnsi="Times New Roman" w:cs="Times New Roman"/>
          <w:color w:val="auto"/>
          <w:kern w:val="2"/>
          <w:szCs w:val="24"/>
          <w:lang w:val="en-US" w:eastAsia="zh-CN"/>
        </w:rPr>
        <w:t>2</w:t>
      </w:r>
      <w:r>
        <w:rPr>
          <w:rStyle w:val="21"/>
          <w:rFonts w:hint="default" w:ascii="Times New Roman" w:hAnsi="Times New Roman" w:cs="Times New Roman"/>
          <w:color w:val="auto"/>
          <w:kern w:val="2"/>
          <w:szCs w:val="24"/>
        </w:rPr>
        <w:t>.</w:t>
      </w:r>
      <w:r>
        <w:rPr>
          <w:rStyle w:val="21"/>
          <w:rFonts w:hint="eastAsia" w:cs="Times New Roman"/>
          <w:color w:val="auto"/>
          <w:kern w:val="2"/>
          <w:szCs w:val="24"/>
          <w:lang w:val="en-US" w:eastAsia="zh-CN"/>
        </w:rPr>
        <w:t>5</w:t>
      </w:r>
      <w:r>
        <w:rPr>
          <w:rStyle w:val="21"/>
          <w:rFonts w:hint="default" w:ascii="Times New Roman" w:hAnsi="Times New Roman" w:cs="Times New Roman"/>
          <w:color w:val="auto"/>
          <w:kern w:val="2"/>
          <w:szCs w:val="24"/>
        </w:rPr>
        <w:t xml:space="preserve"> 外购</w:t>
      </w:r>
      <w:r>
        <w:rPr>
          <w:rStyle w:val="21"/>
          <w:rFonts w:hint="eastAsia" w:cs="Times New Roman"/>
          <w:color w:val="auto"/>
          <w:kern w:val="2"/>
          <w:szCs w:val="24"/>
          <w:lang w:eastAsia="zh-CN"/>
        </w:rPr>
        <w:t>热</w:t>
      </w:r>
      <w:r>
        <w:rPr>
          <w:rStyle w:val="21"/>
          <w:rFonts w:hint="default" w:ascii="Times New Roman" w:hAnsi="Times New Roman" w:cs="Times New Roman"/>
          <w:color w:val="auto"/>
          <w:kern w:val="2"/>
          <w:szCs w:val="24"/>
        </w:rPr>
        <w:t>力</w:t>
      </w:r>
    </w:p>
    <w:p w14:paraId="590E0378">
      <w:pPr>
        <w:pStyle w:val="16"/>
        <w:widowControl/>
        <w:spacing w:beforeAutospacing="0" w:afterAutospacing="0"/>
        <w:rPr>
          <w:rFonts w:hint="default" w:ascii="Times New Roman" w:hAnsi="Times New Roman" w:cs="Times New Roman"/>
          <w:color w:val="auto"/>
          <w:szCs w:val="24"/>
        </w:rPr>
      </w:pPr>
      <w:r>
        <w:rPr>
          <w:rFonts w:hint="default" w:ascii="Times New Roman" w:hAnsi="Times New Roman" w:cs="Times New Roman"/>
          <w:color w:val="auto"/>
          <w:kern w:val="2"/>
          <w:szCs w:val="24"/>
        </w:rPr>
        <w:t>5.</w:t>
      </w:r>
      <w:r>
        <w:rPr>
          <w:rFonts w:hint="default" w:ascii="Times New Roman" w:hAnsi="Times New Roman" w:cs="Times New Roman"/>
          <w:color w:val="auto"/>
          <w:kern w:val="2"/>
          <w:szCs w:val="24"/>
          <w:lang w:val="en-US" w:eastAsia="zh-CN"/>
        </w:rPr>
        <w:t>2</w:t>
      </w:r>
      <w:r>
        <w:rPr>
          <w:rFonts w:hint="default" w:ascii="Times New Roman" w:hAnsi="Times New Roman" w:cs="Times New Roman"/>
          <w:color w:val="auto"/>
          <w:kern w:val="2"/>
          <w:szCs w:val="24"/>
        </w:rPr>
        <w:t>.</w:t>
      </w:r>
      <w:r>
        <w:rPr>
          <w:rFonts w:hint="eastAsia" w:cs="Times New Roman"/>
          <w:color w:val="auto"/>
          <w:kern w:val="2"/>
          <w:szCs w:val="24"/>
          <w:lang w:val="en-US" w:eastAsia="zh-CN"/>
        </w:rPr>
        <w:t>5</w:t>
      </w:r>
      <w:r>
        <w:rPr>
          <w:rFonts w:hint="default" w:ascii="Times New Roman" w:hAnsi="Times New Roman" w:cs="Times New Roman"/>
          <w:color w:val="auto"/>
          <w:kern w:val="2"/>
          <w:szCs w:val="24"/>
        </w:rPr>
        <w:t xml:space="preserve">.1 </w:t>
      </w:r>
      <w:r>
        <w:rPr>
          <w:rFonts w:hint="default" w:ascii="Times New Roman" w:hAnsi="Times New Roman" w:cs="Times New Roman"/>
          <w:color w:val="auto"/>
          <w:szCs w:val="24"/>
        </w:rPr>
        <w:t>构件工厂</w:t>
      </w:r>
      <w:r>
        <w:rPr>
          <w:rStyle w:val="22"/>
          <w:rFonts w:hint="default" w:ascii="Times New Roman" w:hAnsi="Times New Roman" w:cs="Times New Roman"/>
          <w:b w:val="0"/>
          <w:color w:val="auto"/>
          <w:szCs w:val="24"/>
        </w:rPr>
        <w:t>应</w:t>
      </w:r>
      <w:r>
        <w:rPr>
          <w:rFonts w:hint="default" w:ascii="Times New Roman" w:hAnsi="Times New Roman" w:cs="Times New Roman"/>
          <w:color w:val="auto"/>
          <w:szCs w:val="24"/>
        </w:rPr>
        <w:t>在计量边界内净购入</w:t>
      </w:r>
      <w:r>
        <w:rPr>
          <w:rFonts w:hint="eastAsia" w:cs="Times New Roman"/>
          <w:color w:val="auto"/>
          <w:szCs w:val="24"/>
          <w:lang w:eastAsia="zh-CN"/>
        </w:rPr>
        <w:t>热</w:t>
      </w:r>
      <w:r>
        <w:rPr>
          <w:rFonts w:hint="default" w:ascii="Times New Roman" w:hAnsi="Times New Roman" w:cs="Times New Roman"/>
          <w:color w:val="auto"/>
          <w:szCs w:val="24"/>
        </w:rPr>
        <w:t>力的主要使用端或关键分输管线上布设计量点位。</w:t>
      </w:r>
    </w:p>
    <w:p w14:paraId="2381638A">
      <w:pPr>
        <w:pStyle w:val="16"/>
        <w:widowControl/>
        <w:spacing w:beforeAutospacing="0" w:afterAutospacing="0"/>
        <w:rPr>
          <w:rFonts w:hint="default" w:ascii="Times New Roman" w:hAnsi="Times New Roman" w:cs="Times New Roman"/>
          <w:color w:val="auto"/>
          <w:kern w:val="2"/>
          <w:szCs w:val="24"/>
        </w:rPr>
      </w:pPr>
      <w:r>
        <w:rPr>
          <w:rFonts w:hint="default" w:ascii="Times New Roman" w:hAnsi="Times New Roman" w:cs="Times New Roman"/>
          <w:color w:val="auto"/>
          <w:kern w:val="2"/>
          <w:szCs w:val="24"/>
        </w:rPr>
        <w:t>5.</w:t>
      </w:r>
      <w:r>
        <w:rPr>
          <w:rFonts w:hint="default" w:ascii="Times New Roman" w:hAnsi="Times New Roman" w:cs="Times New Roman"/>
          <w:color w:val="auto"/>
          <w:kern w:val="2"/>
          <w:szCs w:val="24"/>
          <w:lang w:val="en-US" w:eastAsia="zh-CN"/>
        </w:rPr>
        <w:t>2</w:t>
      </w:r>
      <w:r>
        <w:rPr>
          <w:rFonts w:hint="default" w:ascii="Times New Roman" w:hAnsi="Times New Roman" w:cs="Times New Roman"/>
          <w:color w:val="auto"/>
          <w:kern w:val="2"/>
          <w:szCs w:val="24"/>
        </w:rPr>
        <w:t>.</w:t>
      </w:r>
      <w:r>
        <w:rPr>
          <w:rFonts w:hint="eastAsia" w:cs="Times New Roman"/>
          <w:color w:val="auto"/>
          <w:kern w:val="2"/>
          <w:szCs w:val="24"/>
          <w:lang w:val="en-US" w:eastAsia="zh-CN"/>
        </w:rPr>
        <w:t>5</w:t>
      </w:r>
      <w:r>
        <w:rPr>
          <w:rFonts w:hint="default" w:ascii="Times New Roman" w:hAnsi="Times New Roman" w:cs="Times New Roman"/>
          <w:color w:val="auto"/>
          <w:kern w:val="2"/>
          <w:szCs w:val="24"/>
        </w:rPr>
        <w:t>.2 对于消耗外购</w:t>
      </w:r>
      <w:r>
        <w:rPr>
          <w:rFonts w:hint="eastAsia" w:cs="Times New Roman"/>
          <w:color w:val="auto"/>
          <w:kern w:val="2"/>
          <w:szCs w:val="24"/>
          <w:lang w:eastAsia="zh-CN"/>
        </w:rPr>
        <w:t>热</w:t>
      </w:r>
      <w:r>
        <w:rPr>
          <w:rFonts w:hint="default" w:ascii="Times New Roman" w:hAnsi="Times New Roman" w:cs="Times New Roman"/>
          <w:color w:val="auto"/>
          <w:kern w:val="2"/>
          <w:szCs w:val="24"/>
        </w:rPr>
        <w:t>力显著的单一生产设备（例如：大型养护窑、干燥设备）、生产线或主要公共设施系统（例如：集中供暖回路、大型中央空调系统），应安装独立的</w:t>
      </w:r>
      <w:r>
        <w:rPr>
          <w:rFonts w:hint="eastAsia" w:cs="Times New Roman"/>
          <w:color w:val="auto"/>
          <w:kern w:val="2"/>
          <w:szCs w:val="24"/>
          <w:lang w:eastAsia="zh-CN"/>
        </w:rPr>
        <w:t>热</w:t>
      </w:r>
      <w:r>
        <w:rPr>
          <w:rFonts w:hint="default" w:ascii="Times New Roman" w:hAnsi="Times New Roman" w:cs="Times New Roman"/>
          <w:color w:val="auto"/>
          <w:kern w:val="2"/>
          <w:szCs w:val="24"/>
        </w:rPr>
        <w:t>量计量仪表进行分项计量。</w:t>
      </w:r>
    </w:p>
    <w:p w14:paraId="48450F73">
      <w:pPr>
        <w:pStyle w:val="16"/>
        <w:widowControl/>
        <w:spacing w:beforeAutospacing="0" w:afterAutospacing="0"/>
        <w:rPr>
          <w:rFonts w:hint="default" w:ascii="Times New Roman" w:hAnsi="Times New Roman" w:cs="Times New Roman"/>
          <w:color w:val="auto"/>
          <w:kern w:val="2"/>
          <w:szCs w:val="24"/>
        </w:rPr>
      </w:pPr>
      <w:r>
        <w:rPr>
          <w:rFonts w:hint="default" w:ascii="Times New Roman" w:hAnsi="Times New Roman" w:cs="Times New Roman"/>
          <w:color w:val="auto"/>
          <w:kern w:val="2"/>
          <w:szCs w:val="24"/>
        </w:rPr>
        <w:t>5.</w:t>
      </w:r>
      <w:r>
        <w:rPr>
          <w:rFonts w:hint="default" w:ascii="Times New Roman" w:hAnsi="Times New Roman" w:cs="Times New Roman"/>
          <w:color w:val="auto"/>
          <w:kern w:val="2"/>
          <w:szCs w:val="24"/>
          <w:lang w:val="en-US" w:eastAsia="zh-CN"/>
        </w:rPr>
        <w:t>2</w:t>
      </w:r>
      <w:r>
        <w:rPr>
          <w:rFonts w:hint="default" w:ascii="Times New Roman" w:hAnsi="Times New Roman" w:cs="Times New Roman"/>
          <w:color w:val="auto"/>
          <w:kern w:val="2"/>
          <w:szCs w:val="24"/>
        </w:rPr>
        <w:t>.</w:t>
      </w:r>
      <w:r>
        <w:rPr>
          <w:rFonts w:hint="eastAsia" w:cs="Times New Roman"/>
          <w:color w:val="auto"/>
          <w:kern w:val="2"/>
          <w:szCs w:val="24"/>
          <w:lang w:val="en-US" w:eastAsia="zh-CN"/>
        </w:rPr>
        <w:t>6</w:t>
      </w:r>
      <w:r>
        <w:rPr>
          <w:rStyle w:val="21"/>
          <w:rFonts w:hint="default" w:ascii="Times New Roman" w:hAnsi="Times New Roman" w:cs="Times New Roman"/>
          <w:color w:val="auto"/>
          <w:kern w:val="2"/>
          <w:szCs w:val="24"/>
        </w:rPr>
        <w:t xml:space="preserve"> 物料消耗</w:t>
      </w:r>
      <w:r>
        <w:rPr>
          <w:rFonts w:hint="default" w:ascii="Times New Roman" w:hAnsi="Times New Roman" w:cs="Times New Roman"/>
          <w:color w:val="auto"/>
          <w:kern w:val="2"/>
          <w:szCs w:val="24"/>
        </w:rPr>
        <w:t>量</w:t>
      </w:r>
    </w:p>
    <w:p w14:paraId="1D3B34F3">
      <w:pPr>
        <w:pStyle w:val="16"/>
        <w:widowControl/>
        <w:spacing w:beforeAutospacing="0" w:afterAutospacing="0"/>
        <w:rPr>
          <w:rFonts w:hint="default" w:ascii="Times New Roman" w:hAnsi="Times New Roman" w:cs="Times New Roman"/>
          <w:color w:val="auto"/>
          <w:kern w:val="2"/>
          <w:szCs w:val="24"/>
        </w:rPr>
      </w:pPr>
      <w:r>
        <w:rPr>
          <w:rFonts w:hint="default" w:ascii="Times New Roman" w:hAnsi="Times New Roman" w:cs="Times New Roman"/>
          <w:color w:val="auto"/>
          <w:kern w:val="2"/>
          <w:szCs w:val="24"/>
        </w:rPr>
        <w:t>5.</w:t>
      </w:r>
      <w:r>
        <w:rPr>
          <w:rFonts w:hint="default" w:ascii="Times New Roman" w:hAnsi="Times New Roman" w:cs="Times New Roman"/>
          <w:color w:val="auto"/>
          <w:kern w:val="2"/>
          <w:szCs w:val="24"/>
          <w:lang w:val="en-US" w:eastAsia="zh-CN"/>
        </w:rPr>
        <w:t>2</w:t>
      </w:r>
      <w:r>
        <w:rPr>
          <w:rFonts w:hint="default" w:ascii="Times New Roman" w:hAnsi="Times New Roman" w:cs="Times New Roman"/>
          <w:color w:val="auto"/>
          <w:kern w:val="2"/>
          <w:szCs w:val="24"/>
        </w:rPr>
        <w:t>.</w:t>
      </w:r>
      <w:r>
        <w:rPr>
          <w:rFonts w:hint="eastAsia" w:cs="Times New Roman"/>
          <w:color w:val="auto"/>
          <w:kern w:val="2"/>
          <w:szCs w:val="24"/>
          <w:lang w:val="en-US" w:eastAsia="zh-CN"/>
        </w:rPr>
        <w:t>6</w:t>
      </w:r>
      <w:r>
        <w:rPr>
          <w:rStyle w:val="21"/>
          <w:rFonts w:hint="default" w:ascii="Times New Roman" w:hAnsi="Times New Roman" w:cs="Times New Roman"/>
          <w:color w:val="auto"/>
          <w:kern w:val="2"/>
          <w:szCs w:val="24"/>
        </w:rPr>
        <w:t xml:space="preserve">.1 </w:t>
      </w:r>
      <w:r>
        <w:rPr>
          <w:rFonts w:hint="default" w:ascii="Times New Roman" w:hAnsi="Times New Roman" w:cs="Times New Roman"/>
          <w:color w:val="auto"/>
          <w:kern w:val="2"/>
          <w:szCs w:val="24"/>
        </w:rPr>
        <w:t>对于在生产过程中消耗且根据核算方法学认定会直接产生</w:t>
      </w:r>
      <w:r>
        <w:rPr>
          <w:rFonts w:hint="default" w:ascii="Times New Roman" w:hAnsi="Times New Roman" w:cs="Times New Roman"/>
          <w:color w:val="auto"/>
          <w:kern w:val="2"/>
          <w:szCs w:val="24"/>
          <w:lang w:val="en-US" w:eastAsia="zh-CN"/>
        </w:rPr>
        <w:t>碳</w:t>
      </w:r>
      <w:r>
        <w:rPr>
          <w:rFonts w:hint="default" w:ascii="Times New Roman" w:hAnsi="Times New Roman" w:cs="Times New Roman"/>
          <w:color w:val="auto"/>
          <w:kern w:val="2"/>
          <w:szCs w:val="24"/>
        </w:rPr>
        <w:t>排放的物料（如作为保护气的 CO</w:t>
      </w:r>
      <w:r>
        <w:rPr>
          <w:rFonts w:hint="default" w:ascii="Times New Roman" w:hAnsi="Times New Roman" w:cs="Times New Roman"/>
          <w:color w:val="auto"/>
          <w:kern w:val="2"/>
          <w:szCs w:val="24"/>
          <w:vertAlign w:val="subscript"/>
        </w:rPr>
        <w:t>2</w:t>
      </w:r>
      <w:r>
        <w:rPr>
          <w:rFonts w:hint="default" w:ascii="Times New Roman" w:hAnsi="Times New Roman" w:cs="Times New Roman"/>
          <w:color w:val="auto"/>
          <w:kern w:val="2"/>
          <w:szCs w:val="24"/>
        </w:rPr>
        <w:t>气体、特定反应性化学品等），</w:t>
      </w:r>
      <w:r>
        <w:rPr>
          <w:rStyle w:val="21"/>
          <w:rFonts w:hint="default" w:ascii="Times New Roman" w:hAnsi="Times New Roman" w:cs="Times New Roman"/>
          <w:color w:val="auto"/>
          <w:kern w:val="2"/>
          <w:szCs w:val="24"/>
        </w:rPr>
        <w:t>应</w:t>
      </w:r>
      <w:r>
        <w:rPr>
          <w:rFonts w:hint="default" w:ascii="Times New Roman" w:hAnsi="Times New Roman" w:cs="Times New Roman"/>
          <w:color w:val="auto"/>
          <w:kern w:val="2"/>
          <w:szCs w:val="24"/>
        </w:rPr>
        <w:t>在使用点或领用点设置消耗量计量点或建立可靠的</w:t>
      </w:r>
      <w:r>
        <w:rPr>
          <w:rFonts w:hint="default" w:ascii="Times New Roman" w:hAnsi="Times New Roman" w:cs="Times New Roman"/>
          <w:color w:val="auto"/>
          <w:kern w:val="2"/>
          <w:szCs w:val="24"/>
          <w:lang w:val="en-US" w:eastAsia="zh-CN"/>
        </w:rPr>
        <w:t>计量</w:t>
      </w:r>
      <w:r>
        <w:rPr>
          <w:rFonts w:hint="default" w:ascii="Times New Roman" w:hAnsi="Times New Roman" w:cs="Times New Roman"/>
          <w:color w:val="auto"/>
          <w:kern w:val="2"/>
          <w:szCs w:val="24"/>
        </w:rPr>
        <w:t>方法。</w:t>
      </w:r>
    </w:p>
    <w:p w14:paraId="74018E04">
      <w:pPr>
        <w:pStyle w:val="16"/>
        <w:widowControl/>
        <w:spacing w:beforeAutospacing="0" w:afterAutospacing="0"/>
        <w:rPr>
          <w:rFonts w:hint="default" w:ascii="Times New Roman" w:hAnsi="Times New Roman" w:cs="Times New Roman"/>
          <w:color w:val="auto"/>
          <w:kern w:val="2"/>
          <w:szCs w:val="24"/>
        </w:rPr>
      </w:pPr>
      <w:r>
        <w:rPr>
          <w:rFonts w:hint="default" w:ascii="Times New Roman" w:hAnsi="Times New Roman" w:cs="Times New Roman"/>
          <w:color w:val="auto"/>
          <w:kern w:val="2"/>
          <w:szCs w:val="24"/>
        </w:rPr>
        <w:t>5.</w:t>
      </w:r>
      <w:r>
        <w:rPr>
          <w:rFonts w:hint="default" w:ascii="Times New Roman" w:hAnsi="Times New Roman" w:cs="Times New Roman"/>
          <w:color w:val="auto"/>
          <w:kern w:val="2"/>
          <w:szCs w:val="24"/>
          <w:lang w:val="en-US" w:eastAsia="zh-CN"/>
        </w:rPr>
        <w:t>2</w:t>
      </w:r>
      <w:r>
        <w:rPr>
          <w:rFonts w:hint="default" w:ascii="Times New Roman" w:hAnsi="Times New Roman" w:cs="Times New Roman"/>
          <w:color w:val="auto"/>
          <w:kern w:val="2"/>
          <w:szCs w:val="24"/>
        </w:rPr>
        <w:t>.</w:t>
      </w:r>
      <w:r>
        <w:rPr>
          <w:rFonts w:hint="eastAsia" w:cs="Times New Roman"/>
          <w:color w:val="auto"/>
          <w:kern w:val="2"/>
          <w:szCs w:val="24"/>
          <w:lang w:val="en-US" w:eastAsia="zh-CN"/>
        </w:rPr>
        <w:t>6</w:t>
      </w:r>
      <w:r>
        <w:rPr>
          <w:rStyle w:val="21"/>
          <w:rFonts w:hint="default" w:ascii="Times New Roman" w:hAnsi="Times New Roman" w:cs="Times New Roman"/>
          <w:color w:val="auto"/>
          <w:kern w:val="2"/>
          <w:szCs w:val="24"/>
        </w:rPr>
        <w:t xml:space="preserve">.2 </w:t>
      </w:r>
      <w:r>
        <w:rPr>
          <w:rFonts w:hint="default" w:ascii="Times New Roman" w:hAnsi="Times New Roman" w:cs="Times New Roman"/>
          <w:color w:val="auto"/>
          <w:kern w:val="2"/>
          <w:szCs w:val="24"/>
        </w:rPr>
        <w:t>对于</w:t>
      </w:r>
      <w:r>
        <w:rPr>
          <w:rStyle w:val="21"/>
          <w:rFonts w:hint="default" w:ascii="Times New Roman" w:hAnsi="Times New Roman" w:cs="Times New Roman"/>
          <w:color w:val="auto"/>
          <w:kern w:val="2"/>
          <w:szCs w:val="24"/>
        </w:rPr>
        <w:t>主要原材料与辅助材料</w:t>
      </w:r>
      <w:r>
        <w:rPr>
          <w:rFonts w:hint="default" w:ascii="Times New Roman" w:hAnsi="Times New Roman" w:cs="Times New Roman"/>
          <w:color w:val="auto"/>
          <w:kern w:val="2"/>
          <w:szCs w:val="24"/>
        </w:rPr>
        <w:t>，构件工厂应追踪并记录投入到各</w:t>
      </w:r>
      <w:r>
        <w:rPr>
          <w:rFonts w:hint="default" w:ascii="Times New Roman" w:hAnsi="Times New Roman" w:cs="Times New Roman"/>
          <w:color w:val="auto"/>
          <w:kern w:val="2"/>
          <w:szCs w:val="24"/>
          <w:lang w:eastAsia="zh-CN"/>
        </w:rPr>
        <w:t>批次</w:t>
      </w:r>
      <w:r>
        <w:rPr>
          <w:rFonts w:hint="default" w:ascii="Times New Roman" w:hAnsi="Times New Roman" w:cs="Times New Roman"/>
          <w:color w:val="auto"/>
          <w:kern w:val="2"/>
          <w:szCs w:val="24"/>
        </w:rPr>
        <w:t>内的主要原材料（如钢材、木材、水泥、骨料等）和关键辅助材料（如焊材、胶粘剂、油漆、外加剂等）的消耗量。</w:t>
      </w:r>
    </w:p>
    <w:p w14:paraId="059E9987">
      <w:pPr>
        <w:pStyle w:val="16"/>
        <w:widowControl/>
        <w:spacing w:beforeAutospacing="0" w:afterAutospacing="0"/>
        <w:rPr>
          <w:rFonts w:hint="default" w:ascii="Times New Roman" w:hAnsi="Times New Roman" w:cs="Times New Roman"/>
          <w:color w:val="auto"/>
          <w:kern w:val="2"/>
          <w:szCs w:val="24"/>
        </w:rPr>
      </w:pPr>
      <w:r>
        <w:rPr>
          <w:rFonts w:hint="default" w:ascii="Times New Roman" w:hAnsi="Times New Roman" w:cs="Times New Roman"/>
          <w:color w:val="auto"/>
          <w:kern w:val="2"/>
          <w:szCs w:val="24"/>
        </w:rPr>
        <w:t>5.</w:t>
      </w:r>
      <w:r>
        <w:rPr>
          <w:rFonts w:hint="default" w:ascii="Times New Roman" w:hAnsi="Times New Roman" w:cs="Times New Roman"/>
          <w:color w:val="auto"/>
          <w:kern w:val="2"/>
          <w:szCs w:val="24"/>
          <w:lang w:val="en-US" w:eastAsia="zh-CN"/>
        </w:rPr>
        <w:t>2</w:t>
      </w:r>
      <w:r>
        <w:rPr>
          <w:rFonts w:hint="default" w:ascii="Times New Roman" w:hAnsi="Times New Roman" w:cs="Times New Roman"/>
          <w:color w:val="auto"/>
          <w:kern w:val="2"/>
          <w:szCs w:val="24"/>
        </w:rPr>
        <w:t>.</w:t>
      </w:r>
      <w:r>
        <w:rPr>
          <w:rFonts w:hint="eastAsia" w:cs="Times New Roman"/>
          <w:color w:val="auto"/>
          <w:kern w:val="2"/>
          <w:szCs w:val="24"/>
          <w:lang w:val="en-US" w:eastAsia="zh-CN"/>
        </w:rPr>
        <w:t>7</w:t>
      </w:r>
      <w:r>
        <w:rPr>
          <w:rStyle w:val="21"/>
          <w:rFonts w:hint="default" w:ascii="Times New Roman" w:hAnsi="Times New Roman" w:cs="Times New Roman"/>
          <w:color w:val="auto"/>
          <w:kern w:val="2"/>
          <w:szCs w:val="24"/>
        </w:rPr>
        <w:t xml:space="preserve"> </w:t>
      </w:r>
      <w:r>
        <w:rPr>
          <w:rFonts w:hint="default" w:ascii="Times New Roman" w:hAnsi="Times New Roman" w:cs="Times New Roman"/>
          <w:color w:val="auto"/>
          <w:kern w:val="2"/>
          <w:szCs w:val="24"/>
        </w:rPr>
        <w:t>废弃物产生量</w:t>
      </w:r>
    </w:p>
    <w:p w14:paraId="6048DC80">
      <w:pPr>
        <w:pStyle w:val="16"/>
        <w:widowControl/>
        <w:spacing w:beforeAutospacing="0" w:afterAutospacing="0"/>
        <w:rPr>
          <w:rFonts w:hint="default" w:ascii="Times New Roman" w:hAnsi="Times New Roman" w:cs="Times New Roman"/>
          <w:color w:val="auto"/>
          <w:kern w:val="2"/>
          <w:szCs w:val="24"/>
        </w:rPr>
      </w:pPr>
      <w:r>
        <w:rPr>
          <w:rFonts w:hint="default" w:ascii="Times New Roman" w:hAnsi="Times New Roman" w:cs="Times New Roman"/>
          <w:color w:val="auto"/>
          <w:kern w:val="2"/>
          <w:szCs w:val="24"/>
        </w:rPr>
        <w:t>5.</w:t>
      </w:r>
      <w:r>
        <w:rPr>
          <w:rFonts w:hint="default" w:ascii="Times New Roman" w:hAnsi="Times New Roman" w:cs="Times New Roman"/>
          <w:color w:val="auto"/>
          <w:kern w:val="2"/>
          <w:szCs w:val="24"/>
          <w:lang w:val="en-US" w:eastAsia="zh-CN"/>
        </w:rPr>
        <w:t>2</w:t>
      </w:r>
      <w:r>
        <w:rPr>
          <w:rFonts w:hint="default" w:ascii="Times New Roman" w:hAnsi="Times New Roman" w:cs="Times New Roman"/>
          <w:color w:val="auto"/>
          <w:kern w:val="2"/>
          <w:szCs w:val="24"/>
        </w:rPr>
        <w:t>.</w:t>
      </w:r>
      <w:r>
        <w:rPr>
          <w:rFonts w:hint="eastAsia" w:cs="Times New Roman"/>
          <w:color w:val="auto"/>
          <w:kern w:val="2"/>
          <w:szCs w:val="24"/>
          <w:lang w:val="en-US" w:eastAsia="zh-CN"/>
        </w:rPr>
        <w:t>7</w:t>
      </w:r>
      <w:r>
        <w:rPr>
          <w:rFonts w:hint="default" w:ascii="Times New Roman" w:hAnsi="Times New Roman" w:cs="Times New Roman"/>
          <w:color w:val="auto"/>
          <w:kern w:val="2"/>
          <w:szCs w:val="24"/>
        </w:rPr>
        <w:t>.1 构件工厂应在废弃物集中收集点、厂内处理设施入口或运出工厂前的环节，对主要类别（如钢废料、木废料、混凝土废渣、一般生产废弃物等）的废弃物产生量设置计量点。</w:t>
      </w:r>
    </w:p>
    <w:p w14:paraId="6BD8BE10">
      <w:pPr>
        <w:pStyle w:val="16"/>
        <w:widowControl/>
        <w:spacing w:beforeAutospacing="0" w:afterAutospacing="0"/>
        <w:rPr>
          <w:rFonts w:hint="default" w:ascii="Times New Roman" w:hAnsi="Times New Roman" w:cs="Times New Roman"/>
          <w:color w:val="auto"/>
          <w:kern w:val="2"/>
          <w:szCs w:val="24"/>
        </w:rPr>
      </w:pPr>
      <w:r>
        <w:rPr>
          <w:rFonts w:hint="default" w:ascii="Times New Roman" w:hAnsi="Times New Roman" w:cs="Times New Roman"/>
          <w:color w:val="auto"/>
          <w:kern w:val="2"/>
          <w:szCs w:val="24"/>
        </w:rPr>
        <w:t>5.</w:t>
      </w:r>
      <w:r>
        <w:rPr>
          <w:rFonts w:hint="default" w:ascii="Times New Roman" w:hAnsi="Times New Roman" w:cs="Times New Roman"/>
          <w:color w:val="auto"/>
          <w:kern w:val="2"/>
          <w:szCs w:val="24"/>
          <w:lang w:val="en-US" w:eastAsia="zh-CN"/>
        </w:rPr>
        <w:t>2</w:t>
      </w:r>
      <w:r>
        <w:rPr>
          <w:rFonts w:hint="default" w:ascii="Times New Roman" w:hAnsi="Times New Roman" w:cs="Times New Roman"/>
          <w:color w:val="auto"/>
          <w:kern w:val="2"/>
          <w:szCs w:val="24"/>
        </w:rPr>
        <w:t>.</w:t>
      </w:r>
      <w:r>
        <w:rPr>
          <w:rFonts w:hint="eastAsia" w:cs="Times New Roman"/>
          <w:color w:val="auto"/>
          <w:kern w:val="2"/>
          <w:szCs w:val="24"/>
          <w:lang w:val="en-US" w:eastAsia="zh-CN"/>
        </w:rPr>
        <w:t>7</w:t>
      </w:r>
      <w:r>
        <w:rPr>
          <w:rFonts w:hint="default" w:ascii="Times New Roman" w:hAnsi="Times New Roman" w:cs="Times New Roman"/>
          <w:color w:val="auto"/>
          <w:kern w:val="2"/>
          <w:szCs w:val="24"/>
        </w:rPr>
        <w:t xml:space="preserve">.2 </w:t>
      </w:r>
      <w:r>
        <w:rPr>
          <w:rStyle w:val="21"/>
          <w:rFonts w:hint="default" w:ascii="Times New Roman" w:hAnsi="Times New Roman" w:cs="Times New Roman"/>
          <w:color w:val="auto"/>
          <w:kern w:val="2"/>
          <w:szCs w:val="24"/>
        </w:rPr>
        <w:t>宜</w:t>
      </w:r>
      <w:r>
        <w:rPr>
          <w:rFonts w:hint="default" w:ascii="Times New Roman" w:hAnsi="Times New Roman" w:cs="Times New Roman"/>
          <w:color w:val="auto"/>
          <w:kern w:val="2"/>
          <w:szCs w:val="24"/>
        </w:rPr>
        <w:t>采用称重法进行计量，对于难以称重的可采用体积计量结合密度估算</w:t>
      </w:r>
      <w:r>
        <w:rPr>
          <w:rFonts w:hint="eastAsia" w:cs="Times New Roman"/>
          <w:color w:val="auto"/>
          <w:kern w:val="2"/>
          <w:szCs w:val="24"/>
          <w:lang w:eastAsia="zh-CN"/>
        </w:rPr>
        <w:t>，</w:t>
      </w:r>
      <w:r>
        <w:rPr>
          <w:rFonts w:hint="eastAsia" w:cs="Times New Roman"/>
          <w:color w:val="auto"/>
          <w:kern w:val="2"/>
          <w:szCs w:val="24"/>
          <w:lang w:val="en-US" w:eastAsia="zh-CN"/>
        </w:rPr>
        <w:t>并</w:t>
      </w:r>
      <w:r>
        <w:rPr>
          <w:rFonts w:hint="default" w:ascii="Times New Roman" w:hAnsi="Times New Roman" w:cs="Times New Roman"/>
          <w:color w:val="auto"/>
          <w:kern w:val="2"/>
          <w:szCs w:val="24"/>
        </w:rPr>
        <w:t>建立废弃物分类计量台账。</w:t>
      </w:r>
    </w:p>
    <w:p w14:paraId="4C00E42A">
      <w:pPr>
        <w:pStyle w:val="16"/>
        <w:widowControl/>
        <w:spacing w:beforeAutospacing="0" w:afterAutospacing="0"/>
        <w:rPr>
          <w:rFonts w:hint="default" w:ascii="Times New Roman" w:hAnsi="Times New Roman" w:cs="Times New Roman"/>
          <w:color w:val="auto"/>
          <w:kern w:val="2"/>
          <w:szCs w:val="24"/>
        </w:rPr>
      </w:pPr>
      <w:r>
        <w:rPr>
          <w:rFonts w:hint="default" w:ascii="Times New Roman" w:hAnsi="Times New Roman" w:cs="Times New Roman"/>
          <w:color w:val="auto"/>
          <w:kern w:val="2"/>
          <w:szCs w:val="24"/>
        </w:rPr>
        <w:t>5.</w:t>
      </w:r>
      <w:r>
        <w:rPr>
          <w:rFonts w:hint="default" w:ascii="Times New Roman" w:hAnsi="Times New Roman" w:cs="Times New Roman"/>
          <w:color w:val="auto"/>
          <w:kern w:val="2"/>
          <w:szCs w:val="24"/>
          <w:lang w:val="en-US" w:eastAsia="zh-CN"/>
        </w:rPr>
        <w:t>2</w:t>
      </w:r>
      <w:r>
        <w:rPr>
          <w:rFonts w:hint="default" w:ascii="Times New Roman" w:hAnsi="Times New Roman" w:cs="Times New Roman"/>
          <w:color w:val="auto"/>
          <w:kern w:val="2"/>
          <w:szCs w:val="24"/>
        </w:rPr>
        <w:t>.</w:t>
      </w:r>
      <w:r>
        <w:rPr>
          <w:rFonts w:hint="eastAsia" w:cs="Times New Roman"/>
          <w:color w:val="auto"/>
          <w:kern w:val="2"/>
          <w:szCs w:val="24"/>
          <w:lang w:val="en-US" w:eastAsia="zh-CN"/>
        </w:rPr>
        <w:t>8</w:t>
      </w:r>
      <w:r>
        <w:rPr>
          <w:rFonts w:hint="default" w:ascii="Times New Roman" w:hAnsi="Times New Roman" w:cs="Times New Roman"/>
          <w:color w:val="auto"/>
          <w:kern w:val="2"/>
          <w:szCs w:val="24"/>
        </w:rPr>
        <w:t xml:space="preserve"> 构件成品</w:t>
      </w:r>
    </w:p>
    <w:p w14:paraId="0129EEC9">
      <w:pPr>
        <w:pStyle w:val="16"/>
        <w:widowControl/>
        <w:spacing w:beforeAutospacing="0" w:afterAutospacing="0"/>
        <w:jc w:val="both"/>
        <w:rPr>
          <w:rFonts w:hint="default" w:ascii="Times New Roman" w:hAnsi="Times New Roman" w:cs="Times New Roman"/>
          <w:color w:val="auto"/>
          <w:kern w:val="2"/>
          <w:szCs w:val="24"/>
        </w:rPr>
      </w:pPr>
      <w:r>
        <w:rPr>
          <w:rFonts w:hint="default" w:ascii="Times New Roman" w:hAnsi="Times New Roman" w:cs="Times New Roman"/>
          <w:color w:val="auto"/>
          <w:kern w:val="2"/>
          <w:szCs w:val="24"/>
        </w:rPr>
        <w:t>5.</w:t>
      </w:r>
      <w:r>
        <w:rPr>
          <w:rFonts w:hint="default" w:ascii="Times New Roman" w:hAnsi="Times New Roman" w:cs="Times New Roman"/>
          <w:color w:val="auto"/>
          <w:kern w:val="2"/>
          <w:szCs w:val="24"/>
          <w:lang w:val="en-US" w:eastAsia="zh-CN"/>
        </w:rPr>
        <w:t>2</w:t>
      </w:r>
      <w:r>
        <w:rPr>
          <w:rFonts w:hint="default" w:ascii="Times New Roman" w:hAnsi="Times New Roman" w:cs="Times New Roman"/>
          <w:color w:val="auto"/>
          <w:kern w:val="2"/>
          <w:szCs w:val="24"/>
        </w:rPr>
        <w:t>.</w:t>
      </w:r>
      <w:r>
        <w:rPr>
          <w:rFonts w:hint="eastAsia" w:cs="Times New Roman"/>
          <w:color w:val="auto"/>
          <w:kern w:val="2"/>
          <w:szCs w:val="24"/>
          <w:lang w:val="en-US" w:eastAsia="zh-CN"/>
        </w:rPr>
        <w:t>8</w:t>
      </w:r>
      <w:r>
        <w:rPr>
          <w:rFonts w:hint="default" w:ascii="Times New Roman" w:hAnsi="Times New Roman" w:cs="Times New Roman"/>
          <w:color w:val="auto"/>
          <w:kern w:val="2"/>
          <w:szCs w:val="24"/>
        </w:rPr>
        <w:t>.1 构件工厂应在成品检验合格入库环节或出厂前的最终环节设置产量记录点。</w:t>
      </w:r>
    </w:p>
    <w:p w14:paraId="673CD04C">
      <w:pPr>
        <w:pStyle w:val="16"/>
        <w:widowControl/>
        <w:spacing w:beforeAutospacing="0" w:afterAutospacing="0"/>
        <w:jc w:val="both"/>
        <w:rPr>
          <w:rFonts w:hint="default" w:ascii="Times New Roman" w:hAnsi="Times New Roman" w:cs="Times New Roman"/>
          <w:color w:val="auto"/>
          <w:kern w:val="2"/>
          <w:szCs w:val="24"/>
        </w:rPr>
      </w:pPr>
      <w:r>
        <w:rPr>
          <w:rFonts w:hint="default" w:ascii="Times New Roman" w:hAnsi="Times New Roman" w:cs="Times New Roman"/>
          <w:color w:val="auto"/>
          <w:kern w:val="2"/>
          <w:szCs w:val="24"/>
        </w:rPr>
        <w:t>5.</w:t>
      </w:r>
      <w:r>
        <w:rPr>
          <w:rFonts w:hint="default" w:ascii="Times New Roman" w:hAnsi="Times New Roman" w:cs="Times New Roman"/>
          <w:color w:val="auto"/>
          <w:kern w:val="2"/>
          <w:szCs w:val="24"/>
          <w:lang w:val="en-US" w:eastAsia="zh-CN"/>
        </w:rPr>
        <w:t>2</w:t>
      </w:r>
      <w:r>
        <w:rPr>
          <w:rFonts w:hint="default" w:ascii="Times New Roman" w:hAnsi="Times New Roman" w:cs="Times New Roman"/>
          <w:color w:val="auto"/>
          <w:kern w:val="2"/>
          <w:szCs w:val="24"/>
        </w:rPr>
        <w:t>.</w:t>
      </w:r>
      <w:r>
        <w:rPr>
          <w:rFonts w:hint="eastAsia" w:cs="Times New Roman"/>
          <w:color w:val="auto"/>
          <w:kern w:val="2"/>
          <w:szCs w:val="24"/>
          <w:lang w:val="en-US" w:eastAsia="zh-CN"/>
        </w:rPr>
        <w:t>8</w:t>
      </w:r>
      <w:r>
        <w:rPr>
          <w:rFonts w:hint="default" w:ascii="Times New Roman" w:hAnsi="Times New Roman" w:cs="Times New Roman"/>
          <w:color w:val="auto"/>
          <w:kern w:val="2"/>
          <w:szCs w:val="24"/>
        </w:rPr>
        <w:t>.2 构件工厂</w:t>
      </w:r>
      <w:r>
        <w:rPr>
          <w:rStyle w:val="21"/>
          <w:rFonts w:hint="default" w:ascii="Times New Roman" w:hAnsi="Times New Roman" w:cs="Times New Roman"/>
          <w:color w:val="auto"/>
          <w:kern w:val="2"/>
          <w:szCs w:val="24"/>
        </w:rPr>
        <w:t>应</w:t>
      </w:r>
      <w:r>
        <w:rPr>
          <w:rFonts w:hint="default" w:ascii="Times New Roman" w:hAnsi="Times New Roman" w:cs="Times New Roman"/>
          <w:color w:val="auto"/>
          <w:kern w:val="2"/>
          <w:szCs w:val="24"/>
        </w:rPr>
        <w:t>准确记录合格产品的类型、规格和数量，并确保数据能关联到</w:t>
      </w:r>
      <w:r>
        <w:rPr>
          <w:rFonts w:hint="default" w:ascii="Times New Roman" w:hAnsi="Times New Roman" w:cs="Times New Roman"/>
          <w:color w:val="auto"/>
          <w:kern w:val="2"/>
          <w:szCs w:val="24"/>
          <w:lang w:eastAsia="zh-CN"/>
        </w:rPr>
        <w:t>批次</w:t>
      </w:r>
      <w:r>
        <w:rPr>
          <w:rFonts w:hint="default" w:ascii="Times New Roman" w:hAnsi="Times New Roman" w:cs="Times New Roman"/>
          <w:color w:val="auto"/>
          <w:kern w:val="2"/>
          <w:szCs w:val="24"/>
        </w:rPr>
        <w:t>。</w:t>
      </w:r>
    </w:p>
    <w:p w14:paraId="3A9593A1">
      <w:pPr>
        <w:pStyle w:val="16"/>
        <w:widowControl/>
        <w:spacing w:beforeAutospacing="0" w:afterAutospacing="0"/>
        <w:jc w:val="both"/>
        <w:rPr>
          <w:rFonts w:hint="default" w:ascii="Times New Roman" w:hAnsi="Times New Roman" w:cs="Times New Roman"/>
          <w:color w:val="auto"/>
          <w:kern w:val="2"/>
          <w:szCs w:val="24"/>
        </w:rPr>
      </w:pPr>
      <w:r>
        <w:rPr>
          <w:rFonts w:hint="default" w:ascii="Times New Roman" w:hAnsi="Times New Roman" w:cs="Times New Roman"/>
          <w:color w:val="auto"/>
          <w:kern w:val="2"/>
          <w:szCs w:val="24"/>
        </w:rPr>
        <w:t>5.</w:t>
      </w:r>
      <w:r>
        <w:rPr>
          <w:rFonts w:hint="default" w:ascii="Times New Roman" w:hAnsi="Times New Roman" w:cs="Times New Roman"/>
          <w:color w:val="auto"/>
          <w:kern w:val="2"/>
          <w:szCs w:val="24"/>
          <w:lang w:val="en-US" w:eastAsia="zh-CN"/>
        </w:rPr>
        <w:t>2</w:t>
      </w:r>
      <w:r>
        <w:rPr>
          <w:rFonts w:hint="default" w:ascii="Times New Roman" w:hAnsi="Times New Roman" w:cs="Times New Roman"/>
          <w:color w:val="auto"/>
          <w:kern w:val="2"/>
          <w:szCs w:val="24"/>
        </w:rPr>
        <w:t>.</w:t>
      </w:r>
      <w:r>
        <w:rPr>
          <w:rFonts w:hint="eastAsia" w:cs="Times New Roman"/>
          <w:color w:val="auto"/>
          <w:kern w:val="2"/>
          <w:szCs w:val="24"/>
          <w:lang w:val="en-US" w:eastAsia="zh-CN"/>
        </w:rPr>
        <w:t>9</w:t>
      </w:r>
      <w:r>
        <w:rPr>
          <w:rFonts w:hint="default" w:ascii="Times New Roman" w:hAnsi="Times New Roman" w:cs="Times New Roman"/>
          <w:color w:val="auto"/>
          <w:kern w:val="2"/>
          <w:szCs w:val="24"/>
        </w:rPr>
        <w:t xml:space="preserve"> 若无法实现分项计量，构件工厂应记录总消耗量，并将总消耗量分摊至</w:t>
      </w:r>
      <w:r>
        <w:rPr>
          <w:rFonts w:hint="default" w:ascii="Times New Roman" w:hAnsi="Times New Roman" w:cs="Times New Roman"/>
          <w:color w:val="auto"/>
          <w:kern w:val="2"/>
          <w:szCs w:val="24"/>
          <w:lang w:val="en-US" w:eastAsia="zh-CN"/>
        </w:rPr>
        <w:t>构件</w:t>
      </w:r>
      <w:r>
        <w:rPr>
          <w:rFonts w:hint="default" w:ascii="Times New Roman" w:hAnsi="Times New Roman" w:cs="Times New Roman"/>
          <w:color w:val="auto"/>
          <w:kern w:val="2"/>
          <w:szCs w:val="24"/>
        </w:rPr>
        <w:t>或批次。</w:t>
      </w:r>
    </w:p>
    <w:p w14:paraId="10D4D677">
      <w:pPr>
        <w:pStyle w:val="4"/>
        <w:rPr>
          <w:rFonts w:hint="default" w:ascii="Times New Roman" w:hAnsi="Times New Roman" w:eastAsia="宋体" w:cs="Times New Roman"/>
          <w:color w:val="auto"/>
          <w:lang w:val="en-US" w:eastAsia="zh-CN"/>
        </w:rPr>
      </w:pPr>
      <w:bookmarkStart w:id="54" w:name="_Toc2558"/>
      <w:bookmarkStart w:id="55" w:name="_Toc11471"/>
      <w:bookmarkStart w:id="56" w:name="_Toc23186"/>
      <w:r>
        <w:rPr>
          <w:rFonts w:hint="default" w:ascii="Times New Roman" w:hAnsi="Times New Roman" w:cs="Times New Roman"/>
          <w:color w:val="auto"/>
        </w:rPr>
        <w:t>5.</w:t>
      </w:r>
      <w:r>
        <w:rPr>
          <w:rFonts w:hint="default" w:ascii="Times New Roman" w:hAnsi="Times New Roman" w:cs="Times New Roman"/>
          <w:color w:val="auto"/>
          <w:lang w:val="en-US" w:eastAsia="zh-CN"/>
        </w:rPr>
        <w:t>3</w:t>
      </w:r>
      <w:r>
        <w:rPr>
          <w:rFonts w:hint="default" w:ascii="Times New Roman" w:hAnsi="Times New Roman" w:cs="Times New Roman"/>
          <w:color w:val="auto"/>
        </w:rPr>
        <w:t xml:space="preserve"> 排放因子</w:t>
      </w:r>
      <w:bookmarkEnd w:id="54"/>
      <w:bookmarkEnd w:id="55"/>
      <w:bookmarkEnd w:id="56"/>
    </w:p>
    <w:p w14:paraId="20FAA67F">
      <w:pPr>
        <w:pStyle w:val="16"/>
        <w:keepNext w:val="0"/>
        <w:keepLines w:val="0"/>
        <w:pageBreakBefore w:val="0"/>
        <w:widowControl/>
        <w:kinsoku/>
        <w:wordWrap/>
        <w:overflowPunct/>
        <w:topLinePunct w:val="0"/>
        <w:autoSpaceDE/>
        <w:autoSpaceDN/>
        <w:bidi w:val="0"/>
        <w:adjustRightInd/>
        <w:snapToGrid/>
        <w:spacing w:beforeAutospacing="0" w:afterAutospacing="0"/>
        <w:textAlignment w:val="auto"/>
        <w:rPr>
          <w:rFonts w:hint="default" w:ascii="Times New Roman" w:hAnsi="Times New Roman" w:eastAsia="宋体" w:cs="Times New Roman"/>
          <w:color w:val="auto"/>
          <w:kern w:val="2"/>
          <w:szCs w:val="24"/>
          <w:lang w:val="en-US" w:eastAsia="zh-CN"/>
        </w:rPr>
      </w:pPr>
      <w:r>
        <w:rPr>
          <w:rFonts w:hint="eastAsia" w:cs="Times New Roman"/>
          <w:color w:val="auto"/>
          <w:kern w:val="2"/>
          <w:szCs w:val="24"/>
          <w:lang w:val="en-US" w:eastAsia="zh-CN"/>
        </w:rPr>
        <w:t>5.3.1 装配式建筑物化阶段碳排放计量的排放因子</w:t>
      </w:r>
      <w:r>
        <w:rPr>
          <w:rFonts w:hint="eastAsia" w:cs="Times New Roman"/>
          <w:color w:val="auto"/>
          <w:lang w:val="en-US" w:eastAsia="zh-CN"/>
        </w:rPr>
        <w:t>计量要求</w:t>
      </w:r>
      <w:r>
        <w:rPr>
          <w:rFonts w:hint="default" w:ascii="Times New Roman" w:hAnsi="Times New Roman" w:cs="Times New Roman"/>
          <w:color w:val="auto"/>
          <w:kern w:val="2"/>
          <w:szCs w:val="24"/>
          <w:lang w:val="en-US" w:eastAsia="zh-CN"/>
        </w:rPr>
        <w:t>如下：</w:t>
      </w:r>
    </w:p>
    <w:p w14:paraId="27D97457">
      <w:pPr>
        <w:pStyle w:val="16"/>
        <w:widowControl/>
        <w:spacing w:beforeAutospacing="0" w:afterAutospacing="0"/>
        <w:ind w:left="0" w:firstLine="480" w:firstLineChars="200"/>
        <w:jc w:val="both"/>
        <w:rPr>
          <w:rFonts w:hint="default" w:ascii="Times New Roman" w:hAnsi="Times New Roman" w:cs="Times New Roman"/>
          <w:color w:val="auto"/>
          <w:szCs w:val="24"/>
        </w:rPr>
      </w:pPr>
      <w:r>
        <w:rPr>
          <w:rFonts w:hint="default" w:ascii="Times New Roman" w:hAnsi="Times New Roman" w:cs="Times New Roman"/>
          <w:color w:val="auto"/>
          <w:kern w:val="2"/>
          <w:szCs w:val="24"/>
        </w:rPr>
        <w:t>1）实测值：基于工厂实际生产条件，通过连续监测或供应商提供的可验证详细数据（如燃料组分分析报告</w:t>
      </w:r>
      <w:r>
        <w:rPr>
          <w:rFonts w:hint="default" w:ascii="Times New Roman" w:hAnsi="Times New Roman" w:cs="Times New Roman"/>
          <w:color w:val="auto"/>
          <w:kern w:val="2"/>
          <w:szCs w:val="24"/>
          <w:lang w:val="en-US" w:eastAsia="zh-CN"/>
        </w:rPr>
        <w:t>等</w:t>
      </w:r>
      <w:r>
        <w:rPr>
          <w:rFonts w:hint="default" w:ascii="Times New Roman" w:hAnsi="Times New Roman" w:cs="Times New Roman"/>
          <w:color w:val="auto"/>
          <w:kern w:val="2"/>
          <w:szCs w:val="24"/>
        </w:rPr>
        <w:t>）；</w:t>
      </w:r>
    </w:p>
    <w:p w14:paraId="4228E559">
      <w:pPr>
        <w:pStyle w:val="16"/>
        <w:widowControl/>
        <w:spacing w:beforeAutospacing="0" w:afterAutospacing="0"/>
        <w:ind w:left="0" w:firstLine="480" w:firstLineChars="200"/>
        <w:jc w:val="both"/>
        <w:rPr>
          <w:rFonts w:hint="default" w:ascii="Times New Roman" w:hAnsi="Times New Roman" w:cs="Times New Roman"/>
          <w:color w:val="auto"/>
          <w:szCs w:val="24"/>
        </w:rPr>
      </w:pPr>
      <w:r>
        <w:rPr>
          <w:rFonts w:hint="default" w:ascii="Times New Roman" w:hAnsi="Times New Roman" w:cs="Times New Roman"/>
          <w:color w:val="auto"/>
          <w:kern w:val="2"/>
          <w:szCs w:val="24"/>
        </w:rPr>
        <w:t>2）地方/区域排放因子：由构件工厂所在地的省级或市级生态环境主管部门（或其授权机构）公开发布的、适用于本行政区域或特定行业的最新</w:t>
      </w:r>
      <w:r>
        <w:rPr>
          <w:rFonts w:hint="eastAsia" w:cs="Times New Roman"/>
          <w:color w:val="auto"/>
          <w:kern w:val="2"/>
          <w:szCs w:val="24"/>
          <w:lang w:eastAsia="zh-CN"/>
        </w:rPr>
        <w:t>排放因子</w:t>
      </w:r>
      <w:r>
        <w:rPr>
          <w:rFonts w:hint="default" w:ascii="Times New Roman" w:hAnsi="Times New Roman" w:cs="Times New Roman"/>
          <w:color w:val="auto"/>
          <w:kern w:val="2"/>
          <w:szCs w:val="24"/>
        </w:rPr>
        <w:t>（如区域电网排放因子、地方推荐的燃料排放因子等）；</w:t>
      </w:r>
    </w:p>
    <w:p w14:paraId="75EA634B">
      <w:pPr>
        <w:pStyle w:val="16"/>
        <w:widowControl/>
        <w:spacing w:beforeAutospacing="0" w:afterAutospacing="0"/>
        <w:ind w:left="0" w:firstLine="480" w:firstLineChars="200"/>
        <w:jc w:val="both"/>
        <w:rPr>
          <w:rFonts w:hint="default" w:ascii="Times New Roman" w:hAnsi="Times New Roman" w:cs="Times New Roman"/>
          <w:color w:val="auto"/>
          <w:szCs w:val="24"/>
        </w:rPr>
      </w:pPr>
      <w:r>
        <w:rPr>
          <w:rFonts w:hint="default" w:ascii="Times New Roman" w:hAnsi="Times New Roman" w:cs="Times New Roman"/>
          <w:color w:val="auto"/>
          <w:kern w:val="2"/>
          <w:szCs w:val="24"/>
        </w:rPr>
        <w:t>3）国家排放因子：由国家生态环境主管部门或其他相关国家部委公开发布的全国性平均</w:t>
      </w:r>
      <w:r>
        <w:rPr>
          <w:rFonts w:hint="eastAsia" w:cs="Times New Roman"/>
          <w:color w:val="auto"/>
          <w:kern w:val="2"/>
          <w:szCs w:val="24"/>
          <w:lang w:eastAsia="zh-CN"/>
        </w:rPr>
        <w:t>排放因子</w:t>
      </w:r>
      <w:r>
        <w:rPr>
          <w:rFonts w:hint="default" w:ascii="Times New Roman" w:hAnsi="Times New Roman" w:cs="Times New Roman"/>
          <w:color w:val="auto"/>
          <w:kern w:val="2"/>
          <w:szCs w:val="24"/>
        </w:rPr>
        <w:t>或推荐的缺省值；</w:t>
      </w:r>
    </w:p>
    <w:p w14:paraId="187C5598">
      <w:pPr>
        <w:pStyle w:val="16"/>
        <w:widowControl/>
        <w:spacing w:beforeAutospacing="0" w:afterAutospacing="0"/>
        <w:ind w:left="0" w:firstLine="480" w:firstLineChars="200"/>
        <w:jc w:val="both"/>
        <w:rPr>
          <w:rFonts w:hint="default" w:ascii="Times New Roman" w:hAnsi="Times New Roman" w:cs="Times New Roman"/>
          <w:color w:val="auto"/>
          <w:szCs w:val="24"/>
        </w:rPr>
      </w:pPr>
      <w:r>
        <w:rPr>
          <w:rFonts w:hint="default" w:ascii="Times New Roman" w:hAnsi="Times New Roman" w:cs="Times New Roman"/>
          <w:color w:val="auto"/>
          <w:kern w:val="2"/>
          <w:szCs w:val="24"/>
        </w:rPr>
        <w:t>4）国内行业推荐因子：由国内具有广泛代表性和权威性的行业协会或研究机构，基于行业普查数据和科学方法研究制定并公开发布的、适用于特定行业通用工艺或产品的</w:t>
      </w:r>
      <w:r>
        <w:rPr>
          <w:rFonts w:hint="eastAsia" w:cs="Times New Roman"/>
          <w:color w:val="auto"/>
          <w:kern w:val="2"/>
          <w:szCs w:val="24"/>
          <w:lang w:eastAsia="zh-CN"/>
        </w:rPr>
        <w:t>排放因子</w:t>
      </w:r>
      <w:r>
        <w:rPr>
          <w:rFonts w:hint="default" w:ascii="Times New Roman" w:hAnsi="Times New Roman" w:cs="Times New Roman"/>
          <w:color w:val="auto"/>
          <w:kern w:val="2"/>
          <w:szCs w:val="24"/>
        </w:rPr>
        <w:t>；</w:t>
      </w:r>
    </w:p>
    <w:p w14:paraId="70A34C69">
      <w:pPr>
        <w:pStyle w:val="16"/>
        <w:widowControl/>
        <w:spacing w:beforeAutospacing="0" w:afterAutospacing="0"/>
        <w:ind w:left="0" w:firstLine="480" w:firstLineChars="200"/>
        <w:rPr>
          <w:rFonts w:hint="default" w:ascii="Times New Roman" w:hAnsi="Times New Roman" w:cs="Times New Roman"/>
          <w:color w:val="auto"/>
          <w:szCs w:val="24"/>
        </w:rPr>
      </w:pPr>
      <w:r>
        <w:rPr>
          <w:rFonts w:hint="default" w:ascii="Times New Roman" w:hAnsi="Times New Roman" w:cs="Times New Roman"/>
          <w:color w:val="auto"/>
          <w:kern w:val="2"/>
          <w:szCs w:val="24"/>
        </w:rPr>
        <w:t>5）具有明确来源的学术研究成果：来源于国内权威机构建设基础数据库</w:t>
      </w:r>
      <w:r>
        <w:rPr>
          <w:rFonts w:hint="default" w:ascii="Times New Roman" w:hAnsi="Times New Roman" w:cs="Times New Roman"/>
          <w:color w:val="auto"/>
          <w:kern w:val="2"/>
          <w:szCs w:val="24"/>
          <w:lang w:val="en-US" w:eastAsia="zh-CN"/>
        </w:rPr>
        <w:t>或公开发表的学术论文</w:t>
      </w:r>
      <w:r>
        <w:rPr>
          <w:rFonts w:hint="default" w:ascii="Times New Roman" w:hAnsi="Times New Roman" w:cs="Times New Roman"/>
          <w:color w:val="auto"/>
          <w:kern w:val="2"/>
          <w:szCs w:val="24"/>
        </w:rPr>
        <w:t>中，适用于</w:t>
      </w:r>
      <w:r>
        <w:rPr>
          <w:rFonts w:hint="default" w:ascii="Times New Roman" w:hAnsi="Times New Roman" w:cs="Times New Roman"/>
          <w:color w:val="auto"/>
          <w:kern w:val="2"/>
          <w:szCs w:val="24"/>
          <w:lang w:val="en-US" w:eastAsia="zh-CN"/>
        </w:rPr>
        <w:t>国内</w:t>
      </w:r>
      <w:r>
        <w:rPr>
          <w:rFonts w:hint="default" w:ascii="Times New Roman" w:hAnsi="Times New Roman" w:cs="Times New Roman"/>
          <w:color w:val="auto"/>
          <w:kern w:val="2"/>
          <w:szCs w:val="24"/>
        </w:rPr>
        <w:t>本土生产和消费情景的</w:t>
      </w:r>
      <w:r>
        <w:rPr>
          <w:rFonts w:hint="eastAsia" w:cs="Times New Roman"/>
          <w:color w:val="auto"/>
          <w:kern w:val="2"/>
          <w:szCs w:val="24"/>
          <w:lang w:eastAsia="zh-CN"/>
        </w:rPr>
        <w:t>排放因子</w:t>
      </w:r>
      <w:r>
        <w:rPr>
          <w:rFonts w:hint="default" w:ascii="Times New Roman" w:hAnsi="Times New Roman" w:cs="Times New Roman"/>
          <w:color w:val="auto"/>
          <w:kern w:val="2"/>
          <w:szCs w:val="24"/>
        </w:rPr>
        <w:t>。</w:t>
      </w:r>
    </w:p>
    <w:p w14:paraId="4F0B4322">
      <w:pPr>
        <w:pStyle w:val="16"/>
        <w:widowControl/>
        <w:spacing w:beforeAutospacing="0" w:afterAutospacing="0"/>
        <w:rPr>
          <w:rFonts w:hint="default" w:ascii="Times New Roman" w:hAnsi="Times New Roman" w:cs="Times New Roman"/>
          <w:color w:val="auto"/>
          <w:szCs w:val="24"/>
        </w:rPr>
      </w:pPr>
      <w:r>
        <w:rPr>
          <w:rFonts w:hint="default" w:ascii="Times New Roman" w:hAnsi="Times New Roman" w:cs="Times New Roman"/>
          <w:color w:val="auto"/>
          <w:kern w:val="2"/>
          <w:szCs w:val="24"/>
        </w:rPr>
        <w:t>5.</w:t>
      </w:r>
      <w:r>
        <w:rPr>
          <w:rFonts w:hint="default" w:ascii="Times New Roman" w:hAnsi="Times New Roman" w:cs="Times New Roman"/>
          <w:color w:val="auto"/>
          <w:kern w:val="2"/>
          <w:szCs w:val="24"/>
          <w:lang w:val="en-US" w:eastAsia="zh-CN"/>
        </w:rPr>
        <w:t>3</w:t>
      </w:r>
      <w:r>
        <w:rPr>
          <w:rFonts w:hint="default" w:ascii="Times New Roman" w:hAnsi="Times New Roman" w:cs="Times New Roman"/>
          <w:color w:val="auto"/>
          <w:kern w:val="2"/>
          <w:szCs w:val="24"/>
        </w:rPr>
        <w:t>.</w:t>
      </w:r>
      <w:r>
        <w:rPr>
          <w:rFonts w:hint="eastAsia" w:cs="Times New Roman"/>
          <w:color w:val="auto"/>
          <w:kern w:val="2"/>
          <w:szCs w:val="24"/>
          <w:lang w:val="en-US" w:eastAsia="zh-CN"/>
        </w:rPr>
        <w:t>2</w:t>
      </w:r>
      <w:r>
        <w:rPr>
          <w:rFonts w:hint="default" w:ascii="Times New Roman" w:hAnsi="Times New Roman" w:cs="Times New Roman"/>
          <w:color w:val="auto"/>
          <w:kern w:val="2"/>
          <w:szCs w:val="24"/>
        </w:rPr>
        <w:t xml:space="preserve"> 当存在多个排放因子来源且均符合5.3.1中的要求时，应按照附录B的排放因子置信度等级</w:t>
      </w:r>
      <w:r>
        <w:rPr>
          <w:rFonts w:hint="eastAsia" w:cs="Times New Roman"/>
          <w:color w:val="auto"/>
          <w:kern w:val="2"/>
          <w:szCs w:val="24"/>
          <w:lang w:val="en-US" w:eastAsia="zh-CN"/>
        </w:rPr>
        <w:t>顺序</w:t>
      </w:r>
      <w:r>
        <w:rPr>
          <w:rFonts w:hint="default" w:ascii="Times New Roman" w:hAnsi="Times New Roman" w:cs="Times New Roman"/>
          <w:color w:val="auto"/>
          <w:kern w:val="2"/>
          <w:szCs w:val="24"/>
        </w:rPr>
        <w:t>选用置信度等级最高的数据。</w:t>
      </w:r>
    </w:p>
    <w:p w14:paraId="1EDFD47D">
      <w:pPr>
        <w:pStyle w:val="3"/>
        <w:rPr>
          <w:rFonts w:hint="default" w:ascii="Times New Roman" w:hAnsi="Times New Roman" w:cs="Times New Roman"/>
          <w:color w:val="auto"/>
        </w:rPr>
      </w:pPr>
      <w:bookmarkStart w:id="57" w:name="_Toc282"/>
      <w:bookmarkStart w:id="58" w:name="_Toc2135"/>
      <w:bookmarkStart w:id="59" w:name="_Toc16234"/>
      <w:bookmarkStart w:id="60" w:name="_Toc1933"/>
      <w:r>
        <w:rPr>
          <w:rFonts w:hint="default" w:ascii="Times New Roman" w:hAnsi="Times New Roman" w:cs="Times New Roman"/>
          <w:color w:val="auto"/>
        </w:rPr>
        <w:t>6 计量方法</w:t>
      </w:r>
      <w:bookmarkEnd w:id="57"/>
      <w:bookmarkEnd w:id="58"/>
      <w:bookmarkEnd w:id="59"/>
      <w:bookmarkEnd w:id="60"/>
    </w:p>
    <w:p w14:paraId="0BE77DD4">
      <w:pPr>
        <w:pStyle w:val="4"/>
        <w:rPr>
          <w:rFonts w:hint="default" w:ascii="Times New Roman" w:hAnsi="Times New Roman" w:cs="Times New Roman"/>
          <w:color w:val="auto"/>
        </w:rPr>
      </w:pPr>
      <w:bookmarkStart w:id="61" w:name="_Toc21403"/>
      <w:bookmarkStart w:id="62" w:name="_Toc29720"/>
      <w:bookmarkStart w:id="63" w:name="_Toc1877"/>
      <w:bookmarkStart w:id="64" w:name="_Toc22625"/>
      <w:r>
        <w:rPr>
          <w:rFonts w:hint="default" w:ascii="Times New Roman" w:hAnsi="Times New Roman" w:cs="Times New Roman"/>
          <w:color w:val="auto"/>
        </w:rPr>
        <w:t>6.1 活动数据的获取</w:t>
      </w:r>
      <w:bookmarkEnd w:id="61"/>
      <w:bookmarkEnd w:id="62"/>
      <w:bookmarkEnd w:id="63"/>
      <w:bookmarkEnd w:id="64"/>
    </w:p>
    <w:p w14:paraId="79C889C2">
      <w:pPr>
        <w:pStyle w:val="9"/>
        <w:tabs>
          <w:tab w:val="left" w:pos="315"/>
        </w:tabs>
        <w:adjustRightInd w:val="0"/>
        <w:snapToGrid w:val="0"/>
        <w:ind w:right="29" w:rightChars="12"/>
        <w:rPr>
          <w:rFonts w:hint="default" w:ascii="Times New Roman" w:hAnsi="Times New Roman" w:cs="Times New Roman"/>
          <w:color w:val="auto"/>
          <w:szCs w:val="24"/>
        </w:rPr>
      </w:pPr>
      <w:r>
        <w:rPr>
          <w:rFonts w:hint="default" w:ascii="Times New Roman" w:hAnsi="Times New Roman" w:cs="Times New Roman"/>
          <w:color w:val="auto"/>
          <w:szCs w:val="24"/>
        </w:rPr>
        <w:t>6.1.1 构件工厂能源计量器具的配备应满足GB 17167、GB/T 24851的规定。</w:t>
      </w:r>
    </w:p>
    <w:p w14:paraId="4BF0860B">
      <w:pPr>
        <w:pStyle w:val="9"/>
        <w:tabs>
          <w:tab w:val="left" w:pos="315"/>
        </w:tabs>
        <w:adjustRightInd w:val="0"/>
        <w:snapToGrid w:val="0"/>
        <w:ind w:right="29" w:rightChars="12"/>
        <w:rPr>
          <w:rFonts w:hint="default" w:ascii="Times New Roman" w:hAnsi="Times New Roman" w:cs="Times New Roman"/>
          <w:color w:val="auto"/>
          <w:szCs w:val="24"/>
        </w:rPr>
      </w:pPr>
      <w:r>
        <w:rPr>
          <w:rFonts w:hint="default" w:ascii="Times New Roman" w:hAnsi="Times New Roman" w:cs="Times New Roman"/>
          <w:color w:val="auto"/>
          <w:szCs w:val="24"/>
        </w:rPr>
        <w:t>6.1.2 活动数据的计量</w:t>
      </w:r>
      <w:r>
        <w:rPr>
          <w:rFonts w:hint="eastAsia" w:ascii="Times New Roman" w:cs="Times New Roman"/>
          <w:color w:val="auto"/>
          <w:szCs w:val="24"/>
          <w:lang w:val="en-US" w:eastAsia="zh-CN"/>
        </w:rPr>
        <w:t>设备和计量</w:t>
      </w:r>
      <w:r>
        <w:rPr>
          <w:rFonts w:hint="default" w:ascii="Times New Roman" w:hAnsi="Times New Roman" w:cs="Times New Roman"/>
          <w:color w:val="auto"/>
          <w:szCs w:val="24"/>
        </w:rPr>
        <w:t>方法应满足表1的要求。</w:t>
      </w:r>
    </w:p>
    <w:p w14:paraId="40131AEF">
      <w:pPr>
        <w:rPr>
          <w:rFonts w:hint="default" w:ascii="Times New Roman" w:hAnsi="Times New Roman" w:cs="Times New Roman"/>
          <w:color w:val="auto"/>
          <w:szCs w:val="24"/>
        </w:rPr>
      </w:pPr>
      <w:r>
        <w:rPr>
          <w:rFonts w:hint="default" w:ascii="Times New Roman" w:hAnsi="Times New Roman" w:cs="Times New Roman"/>
          <w:color w:val="auto"/>
          <w:szCs w:val="24"/>
        </w:rPr>
        <w:br w:type="page"/>
      </w:r>
    </w:p>
    <w:p w14:paraId="450B6843">
      <w:pPr>
        <w:ind w:firstLine="0" w:firstLineChars="0"/>
        <w:jc w:val="center"/>
        <w:rPr>
          <w:rFonts w:hint="default" w:ascii="Times New Roman" w:hAnsi="Times New Roman" w:eastAsia="黑体" w:cs="Times New Roman"/>
          <w:color w:val="auto"/>
          <w:sz w:val="21"/>
          <w:szCs w:val="21"/>
        </w:rPr>
      </w:pPr>
      <w:r>
        <w:rPr>
          <w:rFonts w:hint="default" w:ascii="Times New Roman" w:hAnsi="Times New Roman" w:eastAsia="黑体" w:cs="Times New Roman"/>
          <w:color w:val="auto"/>
          <w:sz w:val="21"/>
          <w:szCs w:val="21"/>
        </w:rPr>
        <w:t>表1 活动数据计量要求</w:t>
      </w:r>
    </w:p>
    <w:tbl>
      <w:tblPr>
        <w:tblStyle w:val="19"/>
        <w:tblW w:w="455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69"/>
        <w:gridCol w:w="1613"/>
        <w:gridCol w:w="1341"/>
        <w:gridCol w:w="1341"/>
        <w:gridCol w:w="2686"/>
      </w:tblGrid>
      <w:tr w14:paraId="5C10DE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25" w:hRule="atLeast"/>
          <w:tblHeader/>
          <w:jc w:val="center"/>
        </w:trPr>
        <w:tc>
          <w:tcPr>
            <w:tcW w:w="496" w:type="pct"/>
            <w:shd w:val="clear" w:color="auto" w:fill="FFFFFF"/>
            <w:vAlign w:val="center"/>
          </w:tcPr>
          <w:p w14:paraId="43CABF8A">
            <w:pPr>
              <w:spacing w:line="240" w:lineRule="auto"/>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计量</w:t>
            </w:r>
          </w:p>
          <w:p w14:paraId="2268C81A">
            <w:pPr>
              <w:spacing w:line="240" w:lineRule="auto"/>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内容</w:t>
            </w:r>
          </w:p>
        </w:tc>
        <w:tc>
          <w:tcPr>
            <w:tcW w:w="1040" w:type="pct"/>
            <w:shd w:val="clear" w:color="auto" w:fill="FFFFFF"/>
            <w:vAlign w:val="center"/>
          </w:tcPr>
          <w:p w14:paraId="78479F85">
            <w:pPr>
              <w:widowControl/>
              <w:spacing w:line="240" w:lineRule="auto"/>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参数</w:t>
            </w:r>
          </w:p>
        </w:tc>
        <w:tc>
          <w:tcPr>
            <w:tcW w:w="865" w:type="pct"/>
            <w:shd w:val="clear" w:color="auto" w:fill="FFFFFF"/>
            <w:vAlign w:val="center"/>
          </w:tcPr>
          <w:p w14:paraId="12DE20F8">
            <w:pPr>
              <w:widowControl/>
              <w:spacing w:line="240" w:lineRule="auto"/>
              <w:jc w:val="center"/>
              <w:rPr>
                <w:rFonts w:hint="default" w:ascii="Times New Roman" w:hAnsi="Times New Roman" w:eastAsia="宋体" w:cs="Times New Roman"/>
                <w:color w:val="auto"/>
                <w:kern w:val="0"/>
                <w:sz w:val="18"/>
                <w:szCs w:val="18"/>
                <w:lang w:val="en-US" w:eastAsia="zh-CN"/>
              </w:rPr>
            </w:pPr>
            <w:r>
              <w:rPr>
                <w:rFonts w:hint="eastAsia" w:cs="Times New Roman"/>
                <w:color w:val="auto"/>
                <w:kern w:val="0"/>
                <w:sz w:val="18"/>
                <w:szCs w:val="18"/>
                <w:lang w:val="en-US" w:eastAsia="zh-CN"/>
              </w:rPr>
              <w:t>典型示例</w:t>
            </w:r>
          </w:p>
        </w:tc>
        <w:tc>
          <w:tcPr>
            <w:tcW w:w="865" w:type="pct"/>
            <w:shd w:val="clear" w:color="auto" w:fill="FFFFFF"/>
            <w:vAlign w:val="center"/>
          </w:tcPr>
          <w:p w14:paraId="6D68F518">
            <w:pPr>
              <w:widowControl/>
              <w:spacing w:line="240" w:lineRule="auto"/>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计量设备</w:t>
            </w:r>
          </w:p>
        </w:tc>
        <w:tc>
          <w:tcPr>
            <w:tcW w:w="1732" w:type="pct"/>
            <w:shd w:val="clear" w:color="auto" w:fill="FFFFFF"/>
            <w:vAlign w:val="center"/>
          </w:tcPr>
          <w:p w14:paraId="1CB448D3">
            <w:pPr>
              <w:widowControl/>
              <w:spacing w:line="240" w:lineRule="auto"/>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计量方法</w:t>
            </w:r>
          </w:p>
        </w:tc>
      </w:tr>
      <w:tr w14:paraId="40A074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96" w:type="pct"/>
            <w:shd w:val="clear" w:color="auto" w:fill="FFFFFF"/>
            <w:vAlign w:val="center"/>
          </w:tcPr>
          <w:p w14:paraId="1F19FABD">
            <w:pPr>
              <w:spacing w:line="240" w:lineRule="auto"/>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固体</w:t>
            </w:r>
          </w:p>
          <w:p w14:paraId="73412793">
            <w:pPr>
              <w:spacing w:line="240" w:lineRule="auto"/>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燃料</w:t>
            </w:r>
          </w:p>
        </w:tc>
        <w:tc>
          <w:tcPr>
            <w:tcW w:w="1040" w:type="pct"/>
            <w:shd w:val="clear" w:color="auto" w:fill="FFFFFF"/>
            <w:vAlign w:val="center"/>
          </w:tcPr>
          <w:p w14:paraId="17C85BAA">
            <w:pPr>
              <w:spacing w:line="240" w:lineRule="auto"/>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燃料消耗量与平均低位发热量乘积</w:t>
            </w:r>
          </w:p>
        </w:tc>
        <w:tc>
          <w:tcPr>
            <w:tcW w:w="865" w:type="pct"/>
            <w:shd w:val="clear" w:color="auto" w:fill="FFFFFF"/>
            <w:vAlign w:val="center"/>
          </w:tcPr>
          <w:p w14:paraId="00A404C2">
            <w:pPr>
              <w:spacing w:line="240" w:lineRule="auto"/>
              <w:jc w:val="center"/>
              <w:rPr>
                <w:rFonts w:hint="default" w:ascii="Times New Roman" w:hAnsi="Times New Roman" w:eastAsia="宋体" w:cs="Times New Roman"/>
                <w:color w:val="auto"/>
                <w:kern w:val="0"/>
                <w:sz w:val="18"/>
                <w:szCs w:val="18"/>
                <w:lang w:val="en-US" w:eastAsia="zh-CN"/>
              </w:rPr>
            </w:pPr>
            <w:r>
              <w:rPr>
                <w:rFonts w:hint="eastAsia" w:cs="Times New Roman"/>
                <w:color w:val="auto"/>
                <w:kern w:val="0"/>
                <w:sz w:val="18"/>
                <w:szCs w:val="18"/>
                <w:lang w:val="en-US" w:eastAsia="zh-CN"/>
              </w:rPr>
              <w:t>煤炭、生物质颗粒</w:t>
            </w:r>
          </w:p>
        </w:tc>
        <w:tc>
          <w:tcPr>
            <w:tcW w:w="865" w:type="pct"/>
            <w:shd w:val="clear" w:color="auto" w:fill="FFFFFF"/>
            <w:vAlign w:val="center"/>
          </w:tcPr>
          <w:p w14:paraId="631875CE">
            <w:pPr>
              <w:spacing w:line="240" w:lineRule="auto"/>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非自动衡器、连续累计自动衡器（皮带秤）</w:t>
            </w:r>
          </w:p>
        </w:tc>
        <w:tc>
          <w:tcPr>
            <w:tcW w:w="1732" w:type="pct"/>
            <w:shd w:val="clear" w:color="auto" w:fill="FFFFFF"/>
            <w:vAlign w:val="center"/>
          </w:tcPr>
          <w:p w14:paraId="3F8B9510">
            <w:pPr>
              <w:spacing w:line="240" w:lineRule="auto"/>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JJG539《数字指示秤检定规程》、JJG195《连续累计自动衡器（皮带秤）检定规程》</w:t>
            </w:r>
          </w:p>
        </w:tc>
      </w:tr>
      <w:tr w14:paraId="69652F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96" w:type="pct"/>
            <w:shd w:val="clear" w:color="auto" w:fill="FFFFFF"/>
            <w:vAlign w:val="center"/>
          </w:tcPr>
          <w:p w14:paraId="43609700">
            <w:pPr>
              <w:spacing w:line="240" w:lineRule="auto"/>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气态和液态燃料</w:t>
            </w:r>
          </w:p>
        </w:tc>
        <w:tc>
          <w:tcPr>
            <w:tcW w:w="1040" w:type="pct"/>
            <w:shd w:val="clear" w:color="auto" w:fill="FFFFFF"/>
            <w:vAlign w:val="center"/>
          </w:tcPr>
          <w:p w14:paraId="464E5357">
            <w:pPr>
              <w:spacing w:line="240" w:lineRule="auto"/>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燃料消耗量与平均低位发热量乘积</w:t>
            </w:r>
          </w:p>
        </w:tc>
        <w:tc>
          <w:tcPr>
            <w:tcW w:w="865" w:type="pct"/>
            <w:shd w:val="clear" w:color="auto" w:fill="FFFFFF"/>
            <w:vAlign w:val="center"/>
          </w:tcPr>
          <w:p w14:paraId="67A84439">
            <w:pPr>
              <w:spacing w:line="240" w:lineRule="auto"/>
              <w:jc w:val="center"/>
              <w:rPr>
                <w:rFonts w:hint="default" w:ascii="Times New Roman" w:hAnsi="Times New Roman" w:eastAsia="宋体" w:cs="Times New Roman"/>
                <w:color w:val="auto"/>
                <w:kern w:val="0"/>
                <w:sz w:val="18"/>
                <w:szCs w:val="18"/>
                <w:lang w:val="en-US" w:eastAsia="zh-CN"/>
              </w:rPr>
            </w:pPr>
            <w:r>
              <w:rPr>
                <w:rFonts w:hint="eastAsia" w:cs="Times New Roman"/>
                <w:color w:val="auto"/>
                <w:kern w:val="0"/>
                <w:sz w:val="18"/>
                <w:szCs w:val="18"/>
                <w:lang w:val="en-US" w:eastAsia="zh-CN"/>
              </w:rPr>
              <w:t>天然气、丙烷、乙炔、柴油、汽油、甲醇</w:t>
            </w:r>
          </w:p>
        </w:tc>
        <w:tc>
          <w:tcPr>
            <w:tcW w:w="865" w:type="pct"/>
            <w:shd w:val="clear" w:color="auto" w:fill="FFFFFF"/>
            <w:vAlign w:val="center"/>
          </w:tcPr>
          <w:p w14:paraId="34805C70">
            <w:pPr>
              <w:spacing w:line="240" w:lineRule="auto"/>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油流量计、气体流量计</w:t>
            </w:r>
          </w:p>
        </w:tc>
        <w:tc>
          <w:tcPr>
            <w:tcW w:w="1732" w:type="pct"/>
            <w:shd w:val="clear" w:color="auto" w:fill="FFFFFF"/>
            <w:vAlign w:val="center"/>
          </w:tcPr>
          <w:p w14:paraId="5113C171">
            <w:pPr>
              <w:spacing w:line="240" w:lineRule="auto"/>
              <w:rPr>
                <w:rFonts w:hint="eastAsia" w:ascii="Times New Roman" w:hAnsi="Times New Roman" w:eastAsia="宋体" w:cs="Times New Roman"/>
                <w:color w:val="auto"/>
                <w:kern w:val="0"/>
                <w:sz w:val="18"/>
                <w:szCs w:val="18"/>
                <w:lang w:eastAsia="zh-CN"/>
              </w:rPr>
            </w:pPr>
            <w:r>
              <w:rPr>
                <w:rFonts w:hint="default" w:ascii="Times New Roman" w:hAnsi="Times New Roman" w:cs="Times New Roman"/>
                <w:color w:val="auto"/>
                <w:kern w:val="0"/>
                <w:sz w:val="18"/>
                <w:szCs w:val="18"/>
              </w:rPr>
              <w:t>JJG667《液体容积式流量计检定规程》、JJG640《差压式流量计检定规程》</w:t>
            </w:r>
            <w:r>
              <w:rPr>
                <w:rFonts w:hint="default" w:cs="Times New Roman"/>
                <w:color w:val="auto"/>
                <w:kern w:val="0"/>
                <w:sz w:val="18"/>
                <w:szCs w:val="18"/>
                <w:lang w:eastAsia="zh-CN"/>
              </w:rPr>
              <w:t>、</w:t>
            </w:r>
            <w:r>
              <w:rPr>
                <w:rFonts w:hint="default" w:ascii="Times New Roman" w:hAnsi="Times New Roman" w:eastAsia="宋体" w:cs="Times New Roman"/>
                <w:b w:val="0"/>
                <w:bCs w:val="0"/>
                <w:i w:val="0"/>
                <w:iCs w:val="0"/>
                <w:caps w:val="0"/>
                <w:color w:val="auto"/>
                <w:spacing w:val="0"/>
                <w:kern w:val="0"/>
                <w:sz w:val="18"/>
                <w:szCs w:val="18"/>
                <w:shd w:val="clear" w:fill="auto"/>
              </w:rPr>
              <w:t>JJG 633-2024</w:t>
            </w:r>
            <w:r>
              <w:rPr>
                <w:rFonts w:hint="default" w:ascii="Times New Roman" w:hAnsi="Times New Roman" w:cs="Times New Roman"/>
                <w:b w:val="0"/>
                <w:bCs w:val="0"/>
                <w:i w:val="0"/>
                <w:iCs w:val="0"/>
                <w:caps w:val="0"/>
                <w:color w:val="auto"/>
                <w:spacing w:val="0"/>
                <w:kern w:val="0"/>
                <w:sz w:val="18"/>
                <w:szCs w:val="18"/>
                <w:shd w:val="clear" w:fill="auto"/>
                <w:lang w:eastAsia="zh-CN"/>
              </w:rPr>
              <w:t>《</w:t>
            </w:r>
            <w:r>
              <w:rPr>
                <w:rFonts w:hint="default" w:ascii="Times New Roman" w:hAnsi="Times New Roman" w:eastAsia="宋体" w:cs="Times New Roman"/>
                <w:i w:val="0"/>
                <w:iCs w:val="0"/>
                <w:caps w:val="0"/>
                <w:color w:val="auto"/>
                <w:spacing w:val="0"/>
                <w:kern w:val="0"/>
                <w:sz w:val="18"/>
                <w:szCs w:val="18"/>
                <w:shd w:val="clear" w:fill="auto"/>
              </w:rPr>
              <w:t>气体容积式流量计</w:t>
            </w:r>
            <w:r>
              <w:rPr>
                <w:rFonts w:hint="default" w:ascii="Times New Roman" w:hAnsi="Times New Roman" w:cs="Times New Roman"/>
                <w:i w:val="0"/>
                <w:iCs w:val="0"/>
                <w:caps w:val="0"/>
                <w:color w:val="auto"/>
                <w:spacing w:val="0"/>
                <w:kern w:val="0"/>
                <w:sz w:val="18"/>
                <w:szCs w:val="18"/>
                <w:shd w:val="clear" w:fill="auto"/>
                <w:lang w:eastAsia="zh-CN"/>
              </w:rPr>
              <w:t>》</w:t>
            </w:r>
          </w:p>
        </w:tc>
      </w:tr>
      <w:tr w14:paraId="016B61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96" w:type="pct"/>
            <w:shd w:val="clear" w:color="auto" w:fill="FFFFFF"/>
            <w:vAlign w:val="center"/>
          </w:tcPr>
          <w:p w14:paraId="129C06F0">
            <w:pPr>
              <w:spacing w:line="240" w:lineRule="auto"/>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含碳</w:t>
            </w:r>
          </w:p>
          <w:p w14:paraId="2E1788DC">
            <w:pPr>
              <w:spacing w:line="240" w:lineRule="auto"/>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原料</w:t>
            </w:r>
          </w:p>
        </w:tc>
        <w:tc>
          <w:tcPr>
            <w:tcW w:w="1040" w:type="pct"/>
            <w:shd w:val="clear" w:color="auto" w:fill="FFFFFF"/>
            <w:vAlign w:val="center"/>
          </w:tcPr>
          <w:p w14:paraId="6927D257">
            <w:pPr>
              <w:widowControl/>
              <w:spacing w:line="240" w:lineRule="auto"/>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质量或体积</w:t>
            </w:r>
          </w:p>
        </w:tc>
        <w:tc>
          <w:tcPr>
            <w:tcW w:w="865" w:type="pct"/>
            <w:shd w:val="clear" w:color="auto" w:fill="FFFFFF"/>
            <w:vAlign w:val="center"/>
          </w:tcPr>
          <w:p w14:paraId="273B38E8">
            <w:pPr>
              <w:widowControl/>
              <w:spacing w:line="240" w:lineRule="auto"/>
              <w:jc w:val="center"/>
              <w:rPr>
                <w:rFonts w:hint="default" w:ascii="Times New Roman" w:hAnsi="Times New Roman" w:eastAsia="宋体" w:cs="Times New Roman"/>
                <w:color w:val="auto"/>
                <w:kern w:val="0"/>
                <w:sz w:val="18"/>
                <w:szCs w:val="18"/>
                <w:lang w:val="en-US" w:eastAsia="zh-CN"/>
              </w:rPr>
            </w:pPr>
            <w:r>
              <w:rPr>
                <w:rFonts w:hint="eastAsia" w:ascii="Times New Roman" w:hAnsi="Times New Roman" w:eastAsia="宋体" w:cs="Times New Roman"/>
                <w:color w:val="auto"/>
                <w:kern w:val="0"/>
                <w:sz w:val="18"/>
                <w:szCs w:val="18"/>
              </w:rPr>
              <w:t>聚合物改性剂</w:t>
            </w:r>
          </w:p>
        </w:tc>
        <w:tc>
          <w:tcPr>
            <w:tcW w:w="865" w:type="pct"/>
            <w:shd w:val="clear" w:color="auto" w:fill="FFFFFF"/>
            <w:vAlign w:val="center"/>
          </w:tcPr>
          <w:p w14:paraId="365208AA">
            <w:pPr>
              <w:widowControl/>
              <w:spacing w:line="240" w:lineRule="auto"/>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非自动衡器、连续累计自动衡器（皮带秤）</w:t>
            </w:r>
          </w:p>
        </w:tc>
        <w:tc>
          <w:tcPr>
            <w:tcW w:w="1732" w:type="pct"/>
            <w:shd w:val="clear" w:color="auto" w:fill="FFFFFF"/>
            <w:vAlign w:val="center"/>
          </w:tcPr>
          <w:p w14:paraId="53FF765E">
            <w:pPr>
              <w:widowControl/>
              <w:spacing w:line="240" w:lineRule="auto"/>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JJG539《数字指示秤检定规程》JJG195《连续累计自动衡器（皮带秤）检定规程》</w:t>
            </w:r>
          </w:p>
        </w:tc>
      </w:tr>
      <w:tr w14:paraId="3BF649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96" w:type="pct"/>
            <w:shd w:val="clear" w:color="auto" w:fill="FFFFFF"/>
            <w:vAlign w:val="center"/>
          </w:tcPr>
          <w:p w14:paraId="09D1E2C1">
            <w:pPr>
              <w:spacing w:line="240" w:lineRule="auto"/>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含碳</w:t>
            </w:r>
          </w:p>
          <w:p w14:paraId="14FBE06D">
            <w:pPr>
              <w:spacing w:line="240" w:lineRule="auto"/>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产品</w:t>
            </w:r>
          </w:p>
        </w:tc>
        <w:tc>
          <w:tcPr>
            <w:tcW w:w="1040" w:type="pct"/>
            <w:shd w:val="clear" w:color="auto" w:fill="FFFFFF"/>
            <w:vAlign w:val="center"/>
          </w:tcPr>
          <w:p w14:paraId="64901839">
            <w:pPr>
              <w:widowControl/>
              <w:spacing w:line="240" w:lineRule="auto"/>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质量或体积</w:t>
            </w:r>
          </w:p>
        </w:tc>
        <w:tc>
          <w:tcPr>
            <w:tcW w:w="865" w:type="pct"/>
            <w:shd w:val="clear" w:color="auto" w:fill="FFFFFF"/>
            <w:vAlign w:val="center"/>
          </w:tcPr>
          <w:p w14:paraId="77552C04">
            <w:pPr>
              <w:spacing w:line="240" w:lineRule="auto"/>
              <w:jc w:val="center"/>
              <w:rPr>
                <w:rFonts w:hint="default" w:ascii="Times New Roman" w:hAnsi="Times New Roman" w:cs="Times New Roman"/>
                <w:color w:val="auto"/>
                <w:kern w:val="0"/>
                <w:sz w:val="18"/>
                <w:szCs w:val="18"/>
              </w:rPr>
            </w:pPr>
            <w:r>
              <w:rPr>
                <w:rFonts w:hint="eastAsia" w:cs="Times New Roman"/>
                <w:color w:val="auto"/>
                <w:kern w:val="0"/>
                <w:sz w:val="18"/>
                <w:szCs w:val="18"/>
                <w:lang w:val="en-US" w:eastAsia="zh-CN"/>
              </w:rPr>
              <w:t>二氧化碳保护气</w:t>
            </w:r>
          </w:p>
        </w:tc>
        <w:tc>
          <w:tcPr>
            <w:tcW w:w="865" w:type="pct"/>
            <w:shd w:val="clear" w:color="auto" w:fill="FFFFFF"/>
            <w:vAlign w:val="center"/>
          </w:tcPr>
          <w:p w14:paraId="389934E6">
            <w:pPr>
              <w:spacing w:line="240" w:lineRule="auto"/>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非自动衡器、连续累计自动衡器（皮带秤）</w:t>
            </w:r>
          </w:p>
        </w:tc>
        <w:tc>
          <w:tcPr>
            <w:tcW w:w="1732" w:type="pct"/>
            <w:shd w:val="clear" w:color="auto" w:fill="FFFFFF"/>
            <w:vAlign w:val="center"/>
          </w:tcPr>
          <w:p w14:paraId="3C81370C">
            <w:pPr>
              <w:spacing w:line="240" w:lineRule="auto"/>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JJG539《数字指示秤检定规程》JJG195《连续累计自动衡器（皮带秤）检定规程》</w:t>
            </w:r>
          </w:p>
        </w:tc>
      </w:tr>
      <w:tr w14:paraId="26FDE5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96" w:type="pct"/>
            <w:shd w:val="clear" w:color="auto" w:fill="FFFFFF"/>
            <w:vAlign w:val="center"/>
          </w:tcPr>
          <w:p w14:paraId="120EC69D">
            <w:pPr>
              <w:spacing w:line="240" w:lineRule="auto"/>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含碳</w:t>
            </w:r>
          </w:p>
          <w:p w14:paraId="6B4808E7">
            <w:pPr>
              <w:spacing w:line="240" w:lineRule="auto"/>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副产品</w:t>
            </w:r>
          </w:p>
        </w:tc>
        <w:tc>
          <w:tcPr>
            <w:tcW w:w="1040" w:type="pct"/>
            <w:shd w:val="clear" w:color="auto" w:fill="FFFFFF"/>
            <w:vAlign w:val="center"/>
          </w:tcPr>
          <w:p w14:paraId="1C5433CB">
            <w:pPr>
              <w:widowControl/>
              <w:spacing w:line="240" w:lineRule="auto"/>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质量或体积</w:t>
            </w:r>
          </w:p>
        </w:tc>
        <w:tc>
          <w:tcPr>
            <w:tcW w:w="865" w:type="pct"/>
            <w:shd w:val="clear" w:color="auto" w:fill="FFFFFF"/>
            <w:vAlign w:val="center"/>
          </w:tcPr>
          <w:p w14:paraId="1AF5920F">
            <w:pPr>
              <w:spacing w:line="240" w:lineRule="auto"/>
              <w:jc w:val="center"/>
              <w:rPr>
                <w:rFonts w:hint="default" w:ascii="Times New Roman" w:hAnsi="Times New Roman" w:eastAsia="宋体" w:cs="Times New Roman"/>
                <w:color w:val="auto"/>
                <w:kern w:val="0"/>
                <w:sz w:val="18"/>
                <w:szCs w:val="18"/>
                <w:lang w:val="en-US" w:eastAsia="zh-CN"/>
              </w:rPr>
            </w:pPr>
            <w:r>
              <w:rPr>
                <w:rFonts w:hint="eastAsia" w:cs="Times New Roman"/>
                <w:color w:val="auto"/>
                <w:kern w:val="0"/>
                <w:sz w:val="18"/>
                <w:szCs w:val="18"/>
                <w:lang w:val="en-US" w:eastAsia="zh-CN"/>
              </w:rPr>
              <w:t>混凝土发泡剂</w:t>
            </w:r>
          </w:p>
        </w:tc>
        <w:tc>
          <w:tcPr>
            <w:tcW w:w="865" w:type="pct"/>
            <w:shd w:val="clear" w:color="auto" w:fill="FFFFFF"/>
            <w:vAlign w:val="center"/>
          </w:tcPr>
          <w:p w14:paraId="156A96B3">
            <w:pPr>
              <w:spacing w:line="240" w:lineRule="auto"/>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非自动衡器、连续累计自动衡器（皮带秤）</w:t>
            </w:r>
          </w:p>
        </w:tc>
        <w:tc>
          <w:tcPr>
            <w:tcW w:w="1732" w:type="pct"/>
            <w:shd w:val="clear" w:color="auto" w:fill="FFFFFF"/>
            <w:vAlign w:val="center"/>
          </w:tcPr>
          <w:p w14:paraId="2730DBCF">
            <w:pPr>
              <w:spacing w:line="240" w:lineRule="auto"/>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JJG539《数字指示秤检定规程》JJG195《连续累计自动衡器（皮带秤）检定规程》</w:t>
            </w:r>
          </w:p>
        </w:tc>
      </w:tr>
      <w:tr w14:paraId="3D2EB2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96" w:type="pct"/>
            <w:vMerge w:val="restart"/>
            <w:shd w:val="clear" w:color="auto" w:fill="FFFFFF"/>
            <w:vAlign w:val="center"/>
          </w:tcPr>
          <w:p w14:paraId="6287FD23">
            <w:pPr>
              <w:spacing w:line="240" w:lineRule="auto"/>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净购入电力</w:t>
            </w:r>
          </w:p>
        </w:tc>
        <w:tc>
          <w:tcPr>
            <w:tcW w:w="1040" w:type="pct"/>
            <w:shd w:val="clear" w:color="auto" w:fill="FFFFFF"/>
            <w:vAlign w:val="center"/>
          </w:tcPr>
          <w:p w14:paraId="696918A6">
            <w:pPr>
              <w:spacing w:line="240" w:lineRule="auto"/>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有功交流电能计量</w:t>
            </w:r>
          </w:p>
        </w:tc>
        <w:tc>
          <w:tcPr>
            <w:tcW w:w="865" w:type="pct"/>
            <w:shd w:val="clear" w:color="auto" w:fill="FFFFFF"/>
            <w:vAlign w:val="center"/>
          </w:tcPr>
          <w:p w14:paraId="107F86C6">
            <w:pPr>
              <w:widowControl/>
              <w:spacing w:line="240" w:lineRule="auto"/>
              <w:jc w:val="center"/>
              <w:rPr>
                <w:rFonts w:hint="eastAsia" w:ascii="Times New Roman" w:hAnsi="Times New Roman" w:eastAsia="宋体" w:cs="Times New Roman"/>
                <w:color w:val="auto"/>
                <w:kern w:val="0"/>
                <w:sz w:val="18"/>
                <w:szCs w:val="18"/>
                <w:lang w:val="en-US" w:eastAsia="zh-CN"/>
              </w:rPr>
            </w:pPr>
            <w:r>
              <w:rPr>
                <w:rFonts w:hint="eastAsia" w:cs="Times New Roman"/>
                <w:color w:val="auto"/>
                <w:kern w:val="0"/>
                <w:sz w:val="18"/>
                <w:szCs w:val="18"/>
                <w:lang w:val="en-US" w:eastAsia="zh-CN"/>
              </w:rPr>
              <w:t>交流电</w:t>
            </w:r>
          </w:p>
        </w:tc>
        <w:tc>
          <w:tcPr>
            <w:tcW w:w="865" w:type="pct"/>
            <w:shd w:val="clear" w:color="auto" w:fill="FFFFFF"/>
            <w:vAlign w:val="center"/>
          </w:tcPr>
          <w:p w14:paraId="144465A3">
            <w:pPr>
              <w:widowControl/>
              <w:spacing w:line="240" w:lineRule="auto"/>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电能表</w:t>
            </w:r>
          </w:p>
        </w:tc>
        <w:tc>
          <w:tcPr>
            <w:tcW w:w="1732" w:type="pct"/>
            <w:shd w:val="clear" w:color="auto" w:fill="FFFFFF"/>
            <w:vAlign w:val="center"/>
          </w:tcPr>
          <w:p w14:paraId="17070CB0">
            <w:pPr>
              <w:spacing w:line="240" w:lineRule="auto"/>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JJG596《电子式交流电能表检定规程》</w:t>
            </w:r>
          </w:p>
        </w:tc>
      </w:tr>
      <w:tr w14:paraId="0CCDE8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96" w:type="pct"/>
            <w:vMerge w:val="continue"/>
            <w:shd w:val="clear" w:color="auto" w:fill="auto"/>
            <w:noWrap/>
            <w:vAlign w:val="center"/>
          </w:tcPr>
          <w:p w14:paraId="5CB62CFF">
            <w:pPr>
              <w:widowControl/>
              <w:spacing w:line="240" w:lineRule="auto"/>
              <w:jc w:val="center"/>
              <w:rPr>
                <w:rFonts w:hint="default" w:ascii="Times New Roman" w:hAnsi="Times New Roman" w:cs="Times New Roman"/>
                <w:color w:val="auto"/>
                <w:kern w:val="0"/>
                <w:sz w:val="18"/>
                <w:szCs w:val="18"/>
              </w:rPr>
            </w:pPr>
          </w:p>
        </w:tc>
        <w:tc>
          <w:tcPr>
            <w:tcW w:w="1040" w:type="pct"/>
            <w:shd w:val="clear" w:color="auto" w:fill="FFFFFF"/>
            <w:vAlign w:val="center"/>
          </w:tcPr>
          <w:p w14:paraId="5304707E">
            <w:pPr>
              <w:spacing w:line="240" w:lineRule="auto"/>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直流电能计量</w:t>
            </w:r>
          </w:p>
        </w:tc>
        <w:tc>
          <w:tcPr>
            <w:tcW w:w="865" w:type="pct"/>
            <w:shd w:val="clear" w:color="auto" w:fill="FFFFFF"/>
            <w:vAlign w:val="center"/>
          </w:tcPr>
          <w:p w14:paraId="12017CF4">
            <w:pPr>
              <w:widowControl/>
              <w:spacing w:line="240" w:lineRule="auto"/>
              <w:jc w:val="center"/>
              <w:rPr>
                <w:rFonts w:hint="eastAsia" w:ascii="Times New Roman" w:hAnsi="Times New Roman" w:eastAsia="宋体" w:cs="Times New Roman"/>
                <w:color w:val="auto"/>
                <w:kern w:val="0"/>
                <w:sz w:val="18"/>
                <w:szCs w:val="18"/>
                <w:lang w:val="en-US" w:eastAsia="zh-CN"/>
              </w:rPr>
            </w:pPr>
            <w:r>
              <w:rPr>
                <w:rFonts w:hint="eastAsia" w:cs="Times New Roman"/>
                <w:color w:val="auto"/>
                <w:kern w:val="0"/>
                <w:sz w:val="18"/>
                <w:szCs w:val="18"/>
                <w:lang w:val="en-US" w:eastAsia="zh-CN"/>
              </w:rPr>
              <w:t>直流电</w:t>
            </w:r>
          </w:p>
        </w:tc>
        <w:tc>
          <w:tcPr>
            <w:tcW w:w="865" w:type="pct"/>
            <w:shd w:val="clear" w:color="auto" w:fill="FFFFFF"/>
            <w:vAlign w:val="center"/>
          </w:tcPr>
          <w:p w14:paraId="69C2EF50">
            <w:pPr>
              <w:widowControl/>
              <w:spacing w:line="240" w:lineRule="auto"/>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电能表</w:t>
            </w:r>
          </w:p>
        </w:tc>
        <w:tc>
          <w:tcPr>
            <w:tcW w:w="1732" w:type="pct"/>
            <w:shd w:val="clear" w:color="auto" w:fill="FFFFFF"/>
            <w:vAlign w:val="center"/>
          </w:tcPr>
          <w:p w14:paraId="708B716C">
            <w:pPr>
              <w:spacing w:line="240" w:lineRule="auto"/>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JJG1187《直流标准电能表检定规程》</w:t>
            </w:r>
          </w:p>
        </w:tc>
      </w:tr>
      <w:tr w14:paraId="5C7347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96" w:type="pct"/>
            <w:vMerge w:val="restart"/>
            <w:shd w:val="clear" w:color="auto" w:fill="FFFFFF"/>
            <w:vAlign w:val="center"/>
          </w:tcPr>
          <w:p w14:paraId="4C9711C5">
            <w:pPr>
              <w:spacing w:line="240" w:lineRule="auto"/>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净购</w:t>
            </w:r>
          </w:p>
          <w:p w14:paraId="3AA5AC82">
            <w:pPr>
              <w:spacing w:line="240" w:lineRule="auto"/>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入</w:t>
            </w:r>
            <w:r>
              <w:rPr>
                <w:rFonts w:hint="eastAsia" w:cs="Times New Roman"/>
                <w:color w:val="auto"/>
                <w:kern w:val="0"/>
                <w:sz w:val="18"/>
                <w:szCs w:val="18"/>
                <w:lang w:eastAsia="zh-CN"/>
              </w:rPr>
              <w:t>热</w:t>
            </w:r>
            <w:r>
              <w:rPr>
                <w:rFonts w:hint="default" w:ascii="Times New Roman" w:hAnsi="Times New Roman" w:cs="Times New Roman"/>
                <w:color w:val="auto"/>
                <w:kern w:val="0"/>
                <w:sz w:val="18"/>
                <w:szCs w:val="18"/>
              </w:rPr>
              <w:t>力</w:t>
            </w:r>
          </w:p>
        </w:tc>
        <w:tc>
          <w:tcPr>
            <w:tcW w:w="1040" w:type="pct"/>
            <w:shd w:val="clear" w:color="auto" w:fill="FFFFFF"/>
            <w:vAlign w:val="center"/>
          </w:tcPr>
          <w:p w14:paraId="686980F7">
            <w:pPr>
              <w:spacing w:line="240" w:lineRule="auto"/>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热水焓值</w:t>
            </w:r>
          </w:p>
        </w:tc>
        <w:tc>
          <w:tcPr>
            <w:tcW w:w="865" w:type="pct"/>
            <w:shd w:val="clear" w:color="auto" w:fill="FFFFFF"/>
            <w:vAlign w:val="center"/>
          </w:tcPr>
          <w:p w14:paraId="7FB73028">
            <w:pPr>
              <w:spacing w:line="240" w:lineRule="auto"/>
              <w:jc w:val="center"/>
              <w:rPr>
                <w:rFonts w:hint="eastAsia" w:ascii="Times New Roman" w:hAnsi="Times New Roman" w:eastAsia="宋体" w:cs="Times New Roman"/>
                <w:color w:val="auto"/>
                <w:kern w:val="0"/>
                <w:sz w:val="18"/>
                <w:szCs w:val="18"/>
                <w:lang w:val="en-US" w:eastAsia="zh-CN"/>
              </w:rPr>
            </w:pPr>
            <w:r>
              <w:rPr>
                <w:rFonts w:hint="eastAsia" w:cs="Times New Roman"/>
                <w:color w:val="auto"/>
                <w:kern w:val="0"/>
                <w:sz w:val="18"/>
                <w:szCs w:val="18"/>
                <w:lang w:val="en-US" w:eastAsia="zh-CN"/>
              </w:rPr>
              <w:t>热水</w:t>
            </w:r>
          </w:p>
        </w:tc>
        <w:tc>
          <w:tcPr>
            <w:tcW w:w="865" w:type="pct"/>
            <w:shd w:val="clear" w:color="auto" w:fill="FFFFFF"/>
            <w:vAlign w:val="center"/>
          </w:tcPr>
          <w:p w14:paraId="04D24873">
            <w:pPr>
              <w:spacing w:line="240" w:lineRule="auto"/>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流量计、温度计、压力计</w:t>
            </w:r>
          </w:p>
        </w:tc>
        <w:tc>
          <w:tcPr>
            <w:tcW w:w="1732" w:type="pct"/>
            <w:shd w:val="clear" w:color="auto" w:fill="FFFFFF"/>
            <w:vAlign w:val="center"/>
          </w:tcPr>
          <w:p w14:paraId="066978E2">
            <w:pPr>
              <w:spacing w:line="240" w:lineRule="auto"/>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JJG225《热能表检定规程》</w:t>
            </w:r>
          </w:p>
        </w:tc>
      </w:tr>
      <w:tr w14:paraId="19ADAC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96" w:type="pct"/>
            <w:vMerge w:val="continue"/>
            <w:shd w:val="clear" w:color="auto" w:fill="auto"/>
            <w:noWrap/>
            <w:vAlign w:val="center"/>
          </w:tcPr>
          <w:p w14:paraId="48867E62">
            <w:pPr>
              <w:widowControl/>
              <w:spacing w:line="240" w:lineRule="auto"/>
              <w:jc w:val="center"/>
              <w:rPr>
                <w:rFonts w:hint="default" w:ascii="Times New Roman" w:hAnsi="Times New Roman" w:cs="Times New Roman"/>
                <w:color w:val="auto"/>
                <w:kern w:val="0"/>
                <w:sz w:val="18"/>
                <w:szCs w:val="18"/>
              </w:rPr>
            </w:pPr>
          </w:p>
        </w:tc>
        <w:tc>
          <w:tcPr>
            <w:tcW w:w="1040" w:type="pct"/>
            <w:shd w:val="clear" w:color="auto" w:fill="FFFFFF"/>
            <w:vAlign w:val="center"/>
          </w:tcPr>
          <w:p w14:paraId="2F82A776">
            <w:pPr>
              <w:spacing w:line="240" w:lineRule="auto"/>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蒸汽焓值</w:t>
            </w:r>
          </w:p>
        </w:tc>
        <w:tc>
          <w:tcPr>
            <w:tcW w:w="865" w:type="pct"/>
            <w:shd w:val="clear" w:color="auto" w:fill="FFFFFF"/>
            <w:vAlign w:val="center"/>
          </w:tcPr>
          <w:p w14:paraId="59D11644">
            <w:pPr>
              <w:spacing w:line="240" w:lineRule="auto"/>
              <w:jc w:val="center"/>
              <w:rPr>
                <w:rFonts w:hint="eastAsia" w:ascii="Times New Roman" w:hAnsi="Times New Roman" w:eastAsia="宋体" w:cs="Times New Roman"/>
                <w:color w:val="auto"/>
                <w:kern w:val="0"/>
                <w:sz w:val="18"/>
                <w:szCs w:val="18"/>
                <w:lang w:val="en-US" w:eastAsia="zh-CN"/>
              </w:rPr>
            </w:pPr>
            <w:r>
              <w:rPr>
                <w:rFonts w:hint="eastAsia" w:cs="Times New Roman"/>
                <w:color w:val="auto"/>
                <w:kern w:val="0"/>
                <w:sz w:val="18"/>
                <w:szCs w:val="18"/>
                <w:lang w:val="en-US" w:eastAsia="zh-CN"/>
              </w:rPr>
              <w:t>蒸汽</w:t>
            </w:r>
          </w:p>
        </w:tc>
        <w:tc>
          <w:tcPr>
            <w:tcW w:w="865" w:type="pct"/>
            <w:shd w:val="clear" w:color="auto" w:fill="FFFFFF"/>
            <w:vAlign w:val="center"/>
          </w:tcPr>
          <w:p w14:paraId="794D053F">
            <w:pPr>
              <w:spacing w:line="240" w:lineRule="auto"/>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流量计、温度计、压力计</w:t>
            </w:r>
          </w:p>
        </w:tc>
        <w:tc>
          <w:tcPr>
            <w:tcW w:w="1732" w:type="pct"/>
            <w:shd w:val="clear" w:color="auto" w:fill="FFFFFF"/>
            <w:vAlign w:val="center"/>
          </w:tcPr>
          <w:p w14:paraId="4A70296D">
            <w:pPr>
              <w:spacing w:line="240" w:lineRule="auto"/>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rPr>
              <w:t>JJG225《热能表检定规程》</w:t>
            </w:r>
          </w:p>
        </w:tc>
      </w:tr>
    </w:tbl>
    <w:p w14:paraId="4AD2ED41">
      <w:pPr>
        <w:pStyle w:val="9"/>
        <w:keepNext w:val="0"/>
        <w:keepLines w:val="0"/>
        <w:pageBreakBefore w:val="0"/>
        <w:widowControl w:val="0"/>
        <w:tabs>
          <w:tab w:val="left" w:pos="315"/>
        </w:tabs>
        <w:kinsoku/>
        <w:wordWrap/>
        <w:overflowPunct/>
        <w:topLinePunct w:val="0"/>
        <w:autoSpaceDE/>
        <w:autoSpaceDN/>
        <w:bidi w:val="0"/>
        <w:adjustRightInd w:val="0"/>
        <w:snapToGrid w:val="0"/>
        <w:ind w:right="29" w:rightChars="12" w:firstLine="0" w:firstLineChars="0"/>
        <w:textAlignment w:val="auto"/>
        <w:rPr>
          <w:rFonts w:hint="default" w:ascii="Times New Roman" w:hAnsi="Times New Roman" w:cs="Times New Roman"/>
          <w:color w:val="auto"/>
          <w:szCs w:val="24"/>
        </w:rPr>
      </w:pPr>
      <w:r>
        <w:rPr>
          <w:rFonts w:hint="default" w:ascii="Times New Roman" w:hAnsi="Times New Roman" w:cs="Times New Roman"/>
          <w:color w:val="auto"/>
          <w:szCs w:val="24"/>
        </w:rPr>
        <w:t>6.1.3 如无法通过6.1.2中的计量方法直接获取原始数据，可基于物料变化量确定活动数据，针对单独购入的数量及相关库存变化折算获得二次数据，折算值按式（1）计算：</w:t>
      </w:r>
    </w:p>
    <w:p w14:paraId="18E4BC25">
      <w:pPr>
        <w:pStyle w:val="39"/>
        <w:rPr>
          <w:rFonts w:hint="default" w:ascii="Times New Roman" w:hAnsi="Times New Roman" w:cs="Times New Roman"/>
          <w:color w:val="auto"/>
        </w:rPr>
      </w:pPr>
      <w:r>
        <w:rPr>
          <w:rFonts w:hint="default" w:ascii="Times New Roman" w:hAnsi="Times New Roman" w:cs="Times New Roman"/>
          <w:color w:val="auto"/>
        </w:rPr>
        <w:tab/>
      </w:r>
      <w:r>
        <w:rPr>
          <w:rFonts w:hint="default" w:ascii="Times New Roman" w:hAnsi="Times New Roman" w:cs="Times New Roman"/>
          <w:color w:val="auto"/>
          <w:position w:val="-14"/>
        </w:rPr>
        <w:object>
          <v:shape id="_x0000_i1025" o:spt="75" type="#_x0000_t75" style="height:20.5pt;width:123.5pt;" o:ole="t" filled="f" o:preferrelative="t" stroked="f" coordsize="21600,21600">
            <v:path/>
            <v:fill on="f" focussize="0,0"/>
            <v:stroke on="f" joinstyle="miter"/>
            <v:imagedata r:id="rId13" o:title=""/>
            <o:lock v:ext="edit" aspectratio="t"/>
            <w10:wrap type="none"/>
            <w10:anchorlock/>
          </v:shape>
          <o:OLEObject Type="Embed" ProgID="Equation.DSMT4" ShapeID="_x0000_i1025" DrawAspect="Content" ObjectID="_1468075725" r:id="rId12">
            <o:LockedField>false</o:LockedField>
          </o:OLEObject>
        </w:object>
      </w:r>
      <w:r>
        <w:rPr>
          <w:rFonts w:hint="default" w:ascii="Times New Roman" w:hAnsi="Times New Roman" w:cs="Times New Roman"/>
          <w:color w:val="auto"/>
        </w:rPr>
        <w:tab/>
      </w:r>
      <w:r>
        <w:rPr>
          <w:rFonts w:hint="default" w:ascii="Times New Roman" w:hAnsi="Times New Roman" w:cs="Times New Roman"/>
          <w:color w:val="auto"/>
        </w:rPr>
        <w:fldChar w:fldCharType="begin"/>
      </w:r>
      <w:r>
        <w:rPr>
          <w:rFonts w:hint="default" w:ascii="Times New Roman" w:hAnsi="Times New Roman" w:cs="Times New Roman"/>
          <w:color w:val="auto"/>
        </w:rPr>
        <w:instrText xml:space="preserve"> MACROBUTTON MTPlaceRef \* MERGEFORMAT </w:instrText>
      </w:r>
      <w:r>
        <w:rPr>
          <w:rFonts w:hint="default" w:ascii="Times New Roman" w:hAnsi="Times New Roman" w:cs="Times New Roman"/>
          <w:color w:val="auto"/>
        </w:rPr>
        <w:fldChar w:fldCharType="begin"/>
      </w:r>
      <w:r>
        <w:rPr>
          <w:rFonts w:hint="default" w:ascii="Times New Roman" w:hAnsi="Times New Roman" w:cs="Times New Roman"/>
          <w:color w:val="auto"/>
        </w:rPr>
        <w:instrText xml:space="preserve"> SEQ MTEqn \h \* MERGEFORMAT </w:instrText>
      </w:r>
      <w:r>
        <w:rPr>
          <w:rFonts w:hint="default" w:ascii="Times New Roman" w:hAnsi="Times New Roman" w:cs="Times New Roman"/>
          <w:color w:val="auto"/>
        </w:rPr>
        <w:fldChar w:fldCharType="end"/>
      </w:r>
      <w:r>
        <w:rPr>
          <w:rFonts w:hint="default" w:ascii="Times New Roman" w:hAnsi="Times New Roman" w:cs="Times New Roman"/>
          <w:color w:val="auto"/>
        </w:rPr>
        <w:instrText xml:space="preserve">(</w:instrText>
      </w:r>
      <w:r>
        <w:rPr>
          <w:rFonts w:hint="default" w:ascii="Times New Roman" w:hAnsi="Times New Roman" w:cs="Times New Roman"/>
          <w:color w:val="auto"/>
        </w:rPr>
        <w:fldChar w:fldCharType="begin"/>
      </w:r>
      <w:r>
        <w:rPr>
          <w:rFonts w:hint="default" w:ascii="Times New Roman" w:hAnsi="Times New Roman" w:cs="Times New Roman"/>
          <w:color w:val="auto"/>
        </w:rPr>
        <w:instrText xml:space="preserve"> SEQ MTEqn \c \* Arabic \* MERGEFORMAT </w:instrText>
      </w:r>
      <w:r>
        <w:rPr>
          <w:rFonts w:hint="default" w:ascii="Times New Roman" w:hAnsi="Times New Roman" w:cs="Times New Roman"/>
          <w:color w:val="auto"/>
        </w:rPr>
        <w:fldChar w:fldCharType="separate"/>
      </w:r>
      <w:r>
        <w:rPr>
          <w:rFonts w:hint="default" w:ascii="Times New Roman" w:hAnsi="Times New Roman" w:cs="Times New Roman"/>
          <w:color w:val="auto"/>
        </w:rPr>
        <w:instrText xml:space="preserve">1</w:instrText>
      </w:r>
      <w:r>
        <w:rPr>
          <w:rFonts w:hint="default" w:ascii="Times New Roman" w:hAnsi="Times New Roman" w:cs="Times New Roman"/>
          <w:color w:val="auto"/>
        </w:rPr>
        <w:fldChar w:fldCharType="end"/>
      </w:r>
      <w:r>
        <w:rPr>
          <w:rFonts w:hint="default" w:ascii="Times New Roman" w:hAnsi="Times New Roman" w:cs="Times New Roman"/>
          <w:color w:val="auto"/>
        </w:rPr>
        <w:instrText xml:space="preserve">)</w:instrText>
      </w:r>
      <w:r>
        <w:rPr>
          <w:rFonts w:hint="default" w:ascii="Times New Roman" w:hAnsi="Times New Roman" w:cs="Times New Roman"/>
          <w:color w:val="auto"/>
        </w:rPr>
        <w:fldChar w:fldCharType="end"/>
      </w:r>
    </w:p>
    <w:p w14:paraId="1A128FA4">
      <w:pPr>
        <w:rPr>
          <w:rFonts w:hint="default" w:ascii="Times New Roman" w:hAnsi="Times New Roman" w:cs="Times New Roman"/>
          <w:color w:val="auto"/>
        </w:rPr>
      </w:pPr>
      <w:r>
        <w:rPr>
          <w:rFonts w:hint="default" w:ascii="Times New Roman" w:hAnsi="Times New Roman" w:cs="Times New Roman"/>
          <w:color w:val="auto"/>
        </w:rPr>
        <w:t>式中：</w:t>
      </w:r>
      <w:r>
        <w:rPr>
          <w:rFonts w:hint="default" w:ascii="Times New Roman" w:hAnsi="Times New Roman" w:cs="Times New Roman"/>
          <w:i/>
          <w:iCs/>
          <w:color w:val="auto"/>
        </w:rPr>
        <w:t>Q</w:t>
      </w:r>
      <w:r>
        <w:rPr>
          <w:rFonts w:hint="default" w:ascii="Times New Roman" w:hAnsi="Times New Roman" w:cs="Times New Roman"/>
          <w:color w:val="auto"/>
        </w:rPr>
        <w:t>——在对应批次内使用的燃料或材料量；</w:t>
      </w:r>
    </w:p>
    <w:p w14:paraId="551D42E5">
      <w:pPr>
        <w:ind w:firstLine="720" w:firstLineChars="300"/>
        <w:rPr>
          <w:rFonts w:hint="default" w:ascii="Times New Roman" w:hAnsi="Times New Roman" w:cs="Times New Roman"/>
          <w:color w:val="auto"/>
        </w:rPr>
      </w:pPr>
      <w:r>
        <w:rPr>
          <w:rFonts w:hint="default" w:ascii="Times New Roman" w:hAnsi="Times New Roman" w:cs="Times New Roman"/>
          <w:i/>
          <w:iCs/>
          <w:color w:val="auto"/>
        </w:rPr>
        <w:t>P</w:t>
      </w:r>
      <w:r>
        <w:rPr>
          <w:rFonts w:hint="default" w:ascii="Times New Roman" w:hAnsi="Times New Roman" w:cs="Times New Roman"/>
          <w:color w:val="auto"/>
        </w:rPr>
        <w:t>——购入的数量；</w:t>
      </w:r>
    </w:p>
    <w:p w14:paraId="5E9C2D7F">
      <w:pPr>
        <w:ind w:firstLine="720" w:firstLineChars="300"/>
        <w:rPr>
          <w:rFonts w:hint="default" w:ascii="Times New Roman" w:hAnsi="Times New Roman" w:cs="Times New Roman"/>
          <w:color w:val="auto"/>
        </w:rPr>
      </w:pPr>
      <w:r>
        <w:rPr>
          <w:rFonts w:hint="default" w:ascii="Times New Roman" w:hAnsi="Times New Roman" w:cs="Times New Roman"/>
          <w:i/>
          <w:iCs/>
          <w:color w:val="auto"/>
        </w:rPr>
        <w:t>D</w:t>
      </w:r>
      <w:r>
        <w:rPr>
          <w:rFonts w:hint="default" w:ascii="Times New Roman" w:hAnsi="Times New Roman" w:cs="Times New Roman"/>
          <w:color w:val="auto"/>
        </w:rPr>
        <w:t>——输出的数量；</w:t>
      </w:r>
    </w:p>
    <w:p w14:paraId="288A46F7">
      <w:pPr>
        <w:ind w:firstLine="720" w:firstLineChars="300"/>
        <w:rPr>
          <w:rFonts w:hint="default" w:ascii="Times New Roman" w:hAnsi="Times New Roman" w:cs="Times New Roman"/>
          <w:color w:val="auto"/>
        </w:rPr>
      </w:pPr>
      <w:r>
        <w:rPr>
          <w:rFonts w:hint="default" w:ascii="Times New Roman" w:hAnsi="Times New Roman" w:cs="Times New Roman"/>
          <w:i/>
          <w:iCs/>
          <w:color w:val="auto"/>
        </w:rPr>
        <w:t>R</w:t>
      </w:r>
      <w:r>
        <w:rPr>
          <w:rFonts w:hint="default" w:ascii="Times New Roman" w:hAnsi="Times New Roman" w:cs="Times New Roman"/>
          <w:i/>
          <w:iCs/>
          <w:color w:val="auto"/>
          <w:vertAlign w:val="subscript"/>
        </w:rPr>
        <w:t>begin</w:t>
      </w:r>
      <w:r>
        <w:rPr>
          <w:rFonts w:hint="default" w:ascii="Times New Roman" w:hAnsi="Times New Roman" w:cs="Times New Roman"/>
          <w:color w:val="auto"/>
        </w:rPr>
        <w:t>——折算周期初的库存；</w:t>
      </w:r>
    </w:p>
    <w:p w14:paraId="5BD145CC">
      <w:pPr>
        <w:ind w:firstLine="720" w:firstLineChars="300"/>
        <w:rPr>
          <w:rFonts w:hint="default" w:ascii="Times New Roman" w:hAnsi="Times New Roman" w:cs="Times New Roman"/>
          <w:color w:val="auto"/>
        </w:rPr>
      </w:pPr>
      <w:r>
        <w:rPr>
          <w:rFonts w:hint="default" w:ascii="Times New Roman" w:hAnsi="Times New Roman" w:cs="Times New Roman"/>
          <w:i/>
          <w:iCs/>
          <w:color w:val="auto"/>
        </w:rPr>
        <w:t>R</w:t>
      </w:r>
      <w:r>
        <w:rPr>
          <w:rFonts w:hint="default" w:ascii="Times New Roman" w:hAnsi="Times New Roman" w:cs="Times New Roman"/>
          <w:i/>
          <w:iCs/>
          <w:color w:val="auto"/>
          <w:vertAlign w:val="subscript"/>
        </w:rPr>
        <w:t>end</w:t>
      </w:r>
      <w:r>
        <w:rPr>
          <w:rFonts w:hint="default" w:ascii="Times New Roman" w:hAnsi="Times New Roman" w:cs="Times New Roman"/>
          <w:color w:val="auto"/>
        </w:rPr>
        <w:t>——折算周期末的库存。</w:t>
      </w:r>
    </w:p>
    <w:p w14:paraId="066F9BAC">
      <w:pPr>
        <w:pStyle w:val="4"/>
        <w:rPr>
          <w:rFonts w:hint="default" w:ascii="Times New Roman" w:hAnsi="Times New Roman" w:cs="Times New Roman"/>
          <w:color w:val="auto"/>
        </w:rPr>
      </w:pPr>
      <w:bookmarkStart w:id="65" w:name="_Toc1323"/>
      <w:bookmarkStart w:id="66" w:name="_Toc10023"/>
      <w:bookmarkStart w:id="67" w:name="_Toc30790"/>
      <w:bookmarkStart w:id="68" w:name="_Toc9690"/>
      <w:r>
        <w:rPr>
          <w:rFonts w:hint="default" w:ascii="Times New Roman" w:hAnsi="Times New Roman" w:cs="Times New Roman"/>
          <w:color w:val="auto"/>
        </w:rPr>
        <w:t>6.2 碳排放量的获取</w:t>
      </w:r>
      <w:bookmarkEnd w:id="65"/>
      <w:bookmarkEnd w:id="66"/>
      <w:bookmarkEnd w:id="67"/>
      <w:bookmarkEnd w:id="68"/>
    </w:p>
    <w:p w14:paraId="3FDB6487">
      <w:pPr>
        <w:rPr>
          <w:rFonts w:hint="default" w:ascii="Times New Roman" w:hAnsi="Times New Roman" w:cs="Times New Roman"/>
          <w:color w:val="auto"/>
        </w:rPr>
      </w:pPr>
      <w:bookmarkStart w:id="69" w:name="_Toc7867"/>
      <w:bookmarkStart w:id="70" w:name="_Toc6572"/>
      <w:bookmarkStart w:id="71" w:name="_Toc30031"/>
      <w:r>
        <w:rPr>
          <w:rFonts w:hint="default" w:ascii="Times New Roman" w:hAnsi="Times New Roman" w:cs="Times New Roman"/>
          <w:color w:val="auto"/>
        </w:rPr>
        <w:t xml:space="preserve">6.2.1 </w:t>
      </w:r>
      <w:r>
        <w:rPr>
          <w:rFonts w:hint="eastAsia" w:cs="Times New Roman"/>
          <w:color w:val="auto"/>
          <w:lang w:eastAsia="zh-CN"/>
        </w:rPr>
        <w:t>装配式建筑物化阶段</w:t>
      </w:r>
      <w:r>
        <w:rPr>
          <w:rFonts w:hint="default" w:ascii="Times New Roman" w:hAnsi="Times New Roman" w:cs="Times New Roman"/>
          <w:color w:val="auto"/>
        </w:rPr>
        <w:t>碳排放总量</w:t>
      </w:r>
      <w:bookmarkEnd w:id="69"/>
      <w:bookmarkEnd w:id="70"/>
      <w:bookmarkEnd w:id="71"/>
    </w:p>
    <w:p w14:paraId="02B3D2EE">
      <w:pPr>
        <w:ind w:firstLine="480" w:firstLineChars="200"/>
        <w:rPr>
          <w:rFonts w:hint="default" w:ascii="Times New Roman" w:hAnsi="Times New Roman" w:cs="Times New Roman"/>
          <w:color w:val="auto"/>
        </w:rPr>
      </w:pPr>
      <w:r>
        <w:rPr>
          <w:rFonts w:hint="eastAsia" w:cs="Times New Roman"/>
          <w:color w:val="auto"/>
          <w:lang w:eastAsia="zh-CN"/>
        </w:rPr>
        <w:t>装配式建筑物化阶段</w:t>
      </w:r>
      <w:r>
        <w:rPr>
          <w:rFonts w:hint="default" w:ascii="Times New Roman" w:hAnsi="Times New Roman" w:cs="Times New Roman"/>
          <w:color w:val="auto"/>
        </w:rPr>
        <w:t>碳排放总量等于计量边界内的直接碳排放及间接碳排放的二氧化碳排放之和，按式（2）计算：</w:t>
      </w:r>
    </w:p>
    <w:p w14:paraId="47AFA5D7">
      <w:pPr>
        <w:pStyle w:val="39"/>
        <w:rPr>
          <w:rFonts w:hint="default" w:ascii="Times New Roman" w:hAnsi="Times New Roman" w:cs="Times New Roman"/>
          <w:color w:val="auto"/>
        </w:rPr>
      </w:pPr>
      <w:r>
        <w:rPr>
          <w:rFonts w:hint="default" w:ascii="Times New Roman" w:hAnsi="Times New Roman" w:cs="Times New Roman"/>
          <w:color w:val="auto"/>
        </w:rPr>
        <w:tab/>
      </w:r>
      <w:r>
        <w:rPr>
          <w:rFonts w:hint="default" w:ascii="Times New Roman" w:hAnsi="Times New Roman" w:cs="Times New Roman"/>
          <w:color w:val="auto"/>
          <w:position w:val="-14"/>
        </w:rPr>
        <w:object>
          <v:shape id="_x0000_i1026" o:spt="75" type="#_x0000_t75" style="height:21.7pt;width:119.55pt;" o:ole="t" filled="f" o:preferrelative="t" stroked="f" coordsize="21600,21600">
            <v:path/>
            <v:fill on="f" focussize="0,0"/>
            <v:stroke on="f"/>
            <v:imagedata r:id="rId15" o:title=""/>
            <o:lock v:ext="edit" aspectratio="t"/>
            <w10:wrap type="none"/>
            <w10:anchorlock/>
          </v:shape>
          <o:OLEObject Type="Embed" ProgID="Equation.DSMT4" ShapeID="_x0000_i1026" DrawAspect="Content" ObjectID="_1468075726" r:id="rId14">
            <o:LockedField>false</o:LockedField>
          </o:OLEObject>
        </w:object>
      </w:r>
      <w:r>
        <w:rPr>
          <w:rFonts w:hint="default" w:ascii="Times New Roman" w:hAnsi="Times New Roman" w:cs="Times New Roman"/>
          <w:color w:val="auto"/>
        </w:rPr>
        <w:tab/>
      </w:r>
      <w:r>
        <w:rPr>
          <w:rFonts w:hint="default" w:ascii="Times New Roman" w:hAnsi="Times New Roman" w:cs="Times New Roman"/>
          <w:color w:val="auto"/>
        </w:rPr>
        <w:fldChar w:fldCharType="begin"/>
      </w:r>
      <w:r>
        <w:rPr>
          <w:rFonts w:hint="default" w:ascii="Times New Roman" w:hAnsi="Times New Roman" w:cs="Times New Roman"/>
          <w:color w:val="auto"/>
        </w:rPr>
        <w:instrText xml:space="preserve"> MACROBUTTON MTPlaceRef \* MERGEFORMAT </w:instrText>
      </w:r>
      <w:r>
        <w:rPr>
          <w:rFonts w:hint="default" w:ascii="Times New Roman" w:hAnsi="Times New Roman" w:cs="Times New Roman"/>
          <w:color w:val="auto"/>
        </w:rPr>
        <w:fldChar w:fldCharType="begin"/>
      </w:r>
      <w:r>
        <w:rPr>
          <w:rFonts w:hint="default" w:ascii="Times New Roman" w:hAnsi="Times New Roman" w:cs="Times New Roman"/>
          <w:color w:val="auto"/>
        </w:rPr>
        <w:instrText xml:space="preserve"> SEQ MTEqn \h \* MERGEFORMAT </w:instrText>
      </w:r>
      <w:r>
        <w:rPr>
          <w:rFonts w:hint="default" w:ascii="Times New Roman" w:hAnsi="Times New Roman" w:cs="Times New Roman"/>
          <w:color w:val="auto"/>
        </w:rPr>
        <w:fldChar w:fldCharType="end"/>
      </w:r>
      <w:r>
        <w:rPr>
          <w:rFonts w:hint="default" w:ascii="Times New Roman" w:hAnsi="Times New Roman" w:cs="Times New Roman"/>
          <w:color w:val="auto"/>
        </w:rPr>
        <w:instrText xml:space="preserve">(</w:instrText>
      </w:r>
      <w:r>
        <w:rPr>
          <w:rFonts w:hint="default" w:ascii="Times New Roman" w:hAnsi="Times New Roman" w:cs="Times New Roman"/>
          <w:color w:val="auto"/>
        </w:rPr>
        <w:fldChar w:fldCharType="begin"/>
      </w:r>
      <w:r>
        <w:rPr>
          <w:rFonts w:hint="default" w:ascii="Times New Roman" w:hAnsi="Times New Roman" w:cs="Times New Roman"/>
          <w:color w:val="auto"/>
        </w:rPr>
        <w:instrText xml:space="preserve"> SEQ MTEqn \c \* Arabic \* MERGEFORMAT </w:instrText>
      </w:r>
      <w:r>
        <w:rPr>
          <w:rFonts w:hint="default" w:ascii="Times New Roman" w:hAnsi="Times New Roman" w:cs="Times New Roman"/>
          <w:color w:val="auto"/>
        </w:rPr>
        <w:fldChar w:fldCharType="separate"/>
      </w:r>
      <w:r>
        <w:rPr>
          <w:rFonts w:hint="default" w:ascii="Times New Roman" w:hAnsi="Times New Roman" w:cs="Times New Roman"/>
          <w:color w:val="auto"/>
        </w:rPr>
        <w:instrText xml:space="preserve">2</w:instrText>
      </w:r>
      <w:r>
        <w:rPr>
          <w:rFonts w:hint="default" w:ascii="Times New Roman" w:hAnsi="Times New Roman" w:cs="Times New Roman"/>
          <w:color w:val="auto"/>
        </w:rPr>
        <w:fldChar w:fldCharType="end"/>
      </w:r>
      <w:r>
        <w:rPr>
          <w:rFonts w:hint="default" w:ascii="Times New Roman" w:hAnsi="Times New Roman" w:cs="Times New Roman"/>
          <w:color w:val="auto"/>
        </w:rPr>
        <w:instrText xml:space="preserve">)</w:instrText>
      </w:r>
      <w:r>
        <w:rPr>
          <w:rFonts w:hint="default" w:ascii="Times New Roman" w:hAnsi="Times New Roman" w:cs="Times New Roman"/>
          <w:color w:val="auto"/>
        </w:rPr>
        <w:fldChar w:fldCharType="end"/>
      </w:r>
    </w:p>
    <w:p w14:paraId="3879F77C">
      <w:pPr>
        <w:ind w:left="1920" w:leftChars="200" w:hanging="1440" w:hangingChars="600"/>
        <w:rPr>
          <w:rFonts w:hint="default" w:ascii="Times New Roman" w:hAnsi="Times New Roman" w:cs="Times New Roman"/>
          <w:color w:val="auto"/>
        </w:rPr>
      </w:pPr>
      <w:r>
        <w:rPr>
          <w:rFonts w:hint="default" w:ascii="Times New Roman" w:hAnsi="Times New Roman" w:cs="Times New Roman"/>
          <w:color w:val="auto"/>
        </w:rPr>
        <w:t>式中：</w:t>
      </w:r>
      <w:r>
        <w:rPr>
          <w:rFonts w:hint="default" w:ascii="Times New Roman" w:hAnsi="Times New Roman" w:cs="Times New Roman"/>
          <w:i/>
          <w:iCs/>
          <w:color w:val="auto"/>
        </w:rPr>
        <w:t xml:space="preserve">C  </w:t>
      </w:r>
      <w:r>
        <w:rPr>
          <w:rFonts w:hint="default" w:ascii="Times New Roman" w:hAnsi="Times New Roman" w:cs="Times New Roman"/>
          <w:color w:val="auto"/>
        </w:rPr>
        <w:t>——</w:t>
      </w:r>
      <w:r>
        <w:rPr>
          <w:rFonts w:hint="eastAsia" w:cs="Times New Roman"/>
          <w:color w:val="auto"/>
          <w:lang w:eastAsia="zh-CN"/>
        </w:rPr>
        <w:t>装配式建筑物化阶段</w:t>
      </w:r>
      <w:r>
        <w:rPr>
          <w:rFonts w:hint="default" w:ascii="Times New Roman" w:hAnsi="Times New Roman" w:cs="Times New Roman"/>
          <w:color w:val="auto"/>
        </w:rPr>
        <w:t>的碳排放总量，tCO</w:t>
      </w:r>
      <w:r>
        <w:rPr>
          <w:rFonts w:hint="default" w:ascii="Times New Roman" w:hAnsi="Times New Roman" w:cs="Times New Roman"/>
          <w:color w:val="auto"/>
          <w:vertAlign w:val="subscript"/>
        </w:rPr>
        <w:t>2</w:t>
      </w:r>
      <w:r>
        <w:rPr>
          <w:rFonts w:hint="default" w:ascii="Times New Roman" w:hAnsi="Times New Roman" w:cs="Times New Roman"/>
          <w:color w:val="auto"/>
        </w:rPr>
        <w:t>；</w:t>
      </w:r>
    </w:p>
    <w:p w14:paraId="3A181A60">
      <w:pPr>
        <w:ind w:left="1920" w:leftChars="500" w:hanging="720" w:hangingChars="300"/>
        <w:rPr>
          <w:rFonts w:hint="default" w:ascii="Times New Roman" w:hAnsi="Times New Roman" w:cs="Times New Roman"/>
          <w:color w:val="auto"/>
          <w:vertAlign w:val="subscript"/>
        </w:rPr>
      </w:pPr>
      <w:r>
        <w:rPr>
          <w:rFonts w:hint="default" w:ascii="Times New Roman" w:hAnsi="Times New Roman" w:cs="Times New Roman"/>
          <w:i/>
          <w:iCs/>
          <w:color w:val="auto"/>
        </w:rPr>
        <w:t>C</w:t>
      </w:r>
      <w:r>
        <w:rPr>
          <w:rFonts w:hint="default" w:ascii="Times New Roman" w:hAnsi="Times New Roman" w:cs="Times New Roman"/>
          <w:i/>
          <w:iCs/>
          <w:color w:val="auto"/>
          <w:vertAlign w:val="subscript"/>
        </w:rPr>
        <w:t>hs</w:t>
      </w:r>
      <w:r>
        <w:rPr>
          <w:rFonts w:hint="default" w:ascii="Times New Roman" w:hAnsi="Times New Roman" w:cs="Times New Roman"/>
          <w:color w:val="auto"/>
        </w:rPr>
        <w:t>——化石燃料燃烧产生的二氧化碳排放量，tCO</w:t>
      </w:r>
      <w:r>
        <w:rPr>
          <w:rFonts w:hint="default" w:ascii="Times New Roman" w:hAnsi="Times New Roman" w:cs="Times New Roman"/>
          <w:color w:val="auto"/>
          <w:vertAlign w:val="subscript"/>
        </w:rPr>
        <w:t>2</w:t>
      </w:r>
      <w:r>
        <w:rPr>
          <w:rFonts w:hint="default" w:ascii="Times New Roman" w:hAnsi="Times New Roman" w:cs="Times New Roman"/>
          <w:color w:val="auto"/>
        </w:rPr>
        <w:t>；</w:t>
      </w:r>
    </w:p>
    <w:p w14:paraId="49B8B5E8">
      <w:pPr>
        <w:ind w:left="1920" w:leftChars="500" w:hanging="720" w:hangingChars="300"/>
        <w:rPr>
          <w:rFonts w:hint="default" w:ascii="Times New Roman" w:hAnsi="Times New Roman" w:cs="Times New Roman"/>
          <w:color w:val="auto"/>
          <w:vertAlign w:val="subscript"/>
        </w:rPr>
      </w:pPr>
      <w:r>
        <w:rPr>
          <w:rFonts w:hint="default" w:ascii="Times New Roman" w:hAnsi="Times New Roman" w:cs="Times New Roman"/>
          <w:i/>
          <w:iCs/>
          <w:color w:val="auto"/>
        </w:rPr>
        <w:t>C</w:t>
      </w:r>
      <w:r>
        <w:rPr>
          <w:rFonts w:hint="default" w:ascii="Times New Roman" w:hAnsi="Times New Roman" w:cs="Times New Roman"/>
          <w:i/>
          <w:iCs/>
          <w:color w:val="auto"/>
          <w:vertAlign w:val="subscript"/>
        </w:rPr>
        <w:t>fn</w:t>
      </w:r>
      <w:r>
        <w:rPr>
          <w:rFonts w:hint="default" w:ascii="Times New Roman" w:hAnsi="Times New Roman" w:cs="Times New Roman"/>
          <w:color w:val="auto"/>
        </w:rPr>
        <w:t>——非能源介质过程排放产生的二氧化碳排放量，tCO</w:t>
      </w:r>
      <w:r>
        <w:rPr>
          <w:rFonts w:hint="default" w:ascii="Times New Roman" w:hAnsi="Times New Roman" w:cs="Times New Roman"/>
          <w:color w:val="auto"/>
          <w:vertAlign w:val="subscript"/>
        </w:rPr>
        <w:t>2</w:t>
      </w:r>
      <w:r>
        <w:rPr>
          <w:rFonts w:hint="default" w:ascii="Times New Roman" w:hAnsi="Times New Roman" w:cs="Times New Roman"/>
          <w:color w:val="auto"/>
        </w:rPr>
        <w:t>；</w:t>
      </w:r>
    </w:p>
    <w:p w14:paraId="4E2767BD">
      <w:pPr>
        <w:ind w:firstLine="1200" w:firstLineChars="500"/>
        <w:rPr>
          <w:rFonts w:hint="default" w:ascii="Times New Roman" w:hAnsi="Times New Roman" w:cs="Times New Roman"/>
          <w:color w:val="auto"/>
          <w:vertAlign w:val="subscript"/>
        </w:rPr>
      </w:pPr>
      <w:r>
        <w:rPr>
          <w:rFonts w:hint="default" w:ascii="Times New Roman" w:hAnsi="Times New Roman" w:cs="Times New Roman"/>
          <w:i/>
          <w:iCs/>
          <w:color w:val="auto"/>
        </w:rPr>
        <w:t>C</w:t>
      </w:r>
      <w:r>
        <w:rPr>
          <w:rFonts w:hint="default" w:ascii="Times New Roman" w:hAnsi="Times New Roman" w:cs="Times New Roman"/>
          <w:i/>
          <w:iCs/>
          <w:color w:val="auto"/>
          <w:vertAlign w:val="subscript"/>
        </w:rPr>
        <w:t>ts</w:t>
      </w:r>
      <w:r>
        <w:rPr>
          <w:rFonts w:hint="default" w:ascii="Times New Roman" w:hAnsi="Times New Roman" w:cs="Times New Roman"/>
          <w:color w:val="auto"/>
        </w:rPr>
        <w:t>——特殊物质过程排放产生的二氧化碳排放量，tCO</w:t>
      </w:r>
      <w:r>
        <w:rPr>
          <w:rFonts w:hint="default" w:ascii="Times New Roman" w:hAnsi="Times New Roman" w:cs="Times New Roman"/>
          <w:color w:val="auto"/>
          <w:vertAlign w:val="subscript"/>
        </w:rPr>
        <w:t>2</w:t>
      </w:r>
      <w:r>
        <w:rPr>
          <w:rFonts w:hint="default" w:ascii="Times New Roman" w:hAnsi="Times New Roman" w:cs="Times New Roman"/>
          <w:color w:val="auto"/>
        </w:rPr>
        <w:t>；</w:t>
      </w:r>
    </w:p>
    <w:p w14:paraId="58C38B0F">
      <w:pPr>
        <w:ind w:left="1920" w:leftChars="500" w:hanging="720" w:hangingChars="300"/>
        <w:rPr>
          <w:rFonts w:hint="default" w:ascii="Times New Roman" w:hAnsi="Times New Roman" w:cs="Times New Roman"/>
          <w:color w:val="auto"/>
          <w:vertAlign w:val="subscript"/>
        </w:rPr>
      </w:pPr>
      <w:r>
        <w:rPr>
          <w:rFonts w:hint="default" w:ascii="Times New Roman" w:hAnsi="Times New Roman" w:cs="Times New Roman"/>
          <w:i/>
          <w:iCs/>
          <w:color w:val="auto"/>
        </w:rPr>
        <w:t>C</w:t>
      </w:r>
      <w:r>
        <w:rPr>
          <w:rFonts w:hint="default" w:ascii="Times New Roman" w:hAnsi="Times New Roman" w:cs="Times New Roman"/>
          <w:i/>
          <w:iCs/>
          <w:color w:val="auto"/>
          <w:vertAlign w:val="subscript"/>
        </w:rPr>
        <w:t>dr</w:t>
      </w:r>
      <w:r>
        <w:rPr>
          <w:rFonts w:hint="default" w:ascii="Times New Roman" w:hAnsi="Times New Roman" w:cs="Times New Roman"/>
          <w:color w:val="auto"/>
        </w:rPr>
        <w:t>——净购入电力、</w:t>
      </w:r>
      <w:r>
        <w:rPr>
          <w:rFonts w:hint="eastAsia" w:cs="Times New Roman"/>
          <w:color w:val="auto"/>
          <w:lang w:eastAsia="zh-CN"/>
        </w:rPr>
        <w:t>热</w:t>
      </w:r>
      <w:r>
        <w:rPr>
          <w:rFonts w:hint="default" w:ascii="Times New Roman" w:hAnsi="Times New Roman" w:cs="Times New Roman"/>
          <w:color w:val="auto"/>
        </w:rPr>
        <w:t>力产生的二氧化碳排放，tCO</w:t>
      </w:r>
      <w:r>
        <w:rPr>
          <w:rFonts w:hint="default" w:ascii="Times New Roman" w:hAnsi="Times New Roman" w:cs="Times New Roman"/>
          <w:color w:val="auto"/>
          <w:vertAlign w:val="subscript"/>
        </w:rPr>
        <w:t>2</w:t>
      </w:r>
      <w:r>
        <w:rPr>
          <w:rFonts w:hint="default" w:ascii="Times New Roman" w:hAnsi="Times New Roman" w:cs="Times New Roman"/>
          <w:color w:val="auto"/>
        </w:rPr>
        <w:t>。</w:t>
      </w:r>
    </w:p>
    <w:p w14:paraId="75175685">
      <w:pPr>
        <w:rPr>
          <w:rFonts w:hint="default" w:ascii="Times New Roman" w:hAnsi="Times New Roman" w:cs="Times New Roman"/>
          <w:color w:val="auto"/>
          <w:szCs w:val="24"/>
        </w:rPr>
      </w:pPr>
      <w:bookmarkStart w:id="72" w:name="_Toc27281"/>
      <w:bookmarkStart w:id="73" w:name="_Toc24962"/>
      <w:bookmarkStart w:id="74" w:name="_Toc2545"/>
      <w:r>
        <w:rPr>
          <w:rFonts w:hint="default" w:ascii="Times New Roman" w:hAnsi="Times New Roman" w:cs="Times New Roman"/>
          <w:color w:val="auto"/>
        </w:rPr>
        <w:t xml:space="preserve">6.2.2 </w:t>
      </w:r>
      <w:bookmarkEnd w:id="72"/>
      <w:bookmarkEnd w:id="73"/>
      <w:bookmarkEnd w:id="74"/>
      <w:bookmarkStart w:id="75" w:name="_Toc188229742"/>
      <w:bookmarkStart w:id="76" w:name="_Toc188229711"/>
      <w:r>
        <w:rPr>
          <w:rFonts w:hint="default" w:ascii="Times New Roman" w:hAnsi="Times New Roman" w:cs="Times New Roman"/>
          <w:color w:val="auto"/>
          <w:szCs w:val="24"/>
        </w:rPr>
        <w:t>化石燃料燃烧排放</w:t>
      </w:r>
      <w:bookmarkEnd w:id="75"/>
      <w:bookmarkEnd w:id="76"/>
    </w:p>
    <w:p w14:paraId="1B5F2F72">
      <w:pPr>
        <w:ind w:firstLine="480" w:firstLineChars="200"/>
        <w:rPr>
          <w:rFonts w:hint="default" w:ascii="Times New Roman" w:hAnsi="Times New Roman" w:cs="Times New Roman"/>
          <w:color w:val="auto"/>
          <w:szCs w:val="24"/>
        </w:rPr>
      </w:pPr>
      <w:r>
        <w:rPr>
          <w:rFonts w:hint="default" w:ascii="Times New Roman" w:hAnsi="Times New Roman" w:cs="Times New Roman"/>
          <w:color w:val="auto"/>
          <w:szCs w:val="24"/>
        </w:rPr>
        <w:t>化石燃料燃烧产生的二氧化碳排放量，按式（3）计算：</w:t>
      </w:r>
    </w:p>
    <w:p w14:paraId="2DABD719">
      <w:pPr>
        <w:pStyle w:val="39"/>
        <w:rPr>
          <w:rFonts w:hint="default" w:ascii="Times New Roman" w:hAnsi="Times New Roman" w:cs="Times New Roman"/>
          <w:color w:val="auto"/>
          <w:szCs w:val="24"/>
        </w:rPr>
      </w:pPr>
      <w:r>
        <w:rPr>
          <w:rFonts w:hint="default" w:ascii="Times New Roman" w:hAnsi="Times New Roman" w:cs="Times New Roman"/>
          <w:color w:val="auto"/>
          <w:szCs w:val="24"/>
        </w:rPr>
        <w:tab/>
      </w:r>
      <w:r>
        <w:rPr>
          <w:rFonts w:hint="default" w:ascii="Times New Roman" w:hAnsi="Times New Roman" w:cs="Times New Roman"/>
          <w:color w:val="auto"/>
          <w:position w:val="-28"/>
          <w:szCs w:val="24"/>
        </w:rPr>
        <w:object>
          <v:shape id="_x0000_i1027" o:spt="75" type="#_x0000_t75" style="height:34pt;width:141pt;" o:ole="t" filled="f" o:preferrelative="t" stroked="f" coordsize="21600,21600">
            <v:path/>
            <v:fill on="f" focussize="0,0"/>
            <v:stroke on="f"/>
            <v:imagedata r:id="rId17" o:title=""/>
            <o:lock v:ext="edit" aspectratio="t"/>
            <w10:wrap type="none"/>
            <w10:anchorlock/>
          </v:shape>
          <o:OLEObject Type="Embed" ProgID="Equation.DSMT4" ShapeID="_x0000_i1027" DrawAspect="Content" ObjectID="_1468075727" r:id="rId16">
            <o:LockedField>false</o:LockedField>
          </o:OLEObject>
        </w:object>
      </w:r>
      <w:r>
        <w:rPr>
          <w:rFonts w:hint="default" w:ascii="Times New Roman" w:hAnsi="Times New Roman" w:cs="Times New Roman"/>
          <w:color w:val="auto"/>
          <w:szCs w:val="24"/>
        </w:rPr>
        <w:tab/>
      </w:r>
      <w:r>
        <w:rPr>
          <w:rFonts w:hint="default" w:ascii="Times New Roman" w:hAnsi="Times New Roman" w:cs="Times New Roman"/>
          <w:color w:val="auto"/>
          <w:szCs w:val="24"/>
        </w:rPr>
        <w:fldChar w:fldCharType="begin"/>
      </w:r>
      <w:r>
        <w:rPr>
          <w:rFonts w:hint="default" w:ascii="Times New Roman" w:hAnsi="Times New Roman" w:cs="Times New Roman"/>
          <w:color w:val="auto"/>
          <w:szCs w:val="24"/>
        </w:rPr>
        <w:instrText xml:space="preserve"> MACROBUTTON MTPlaceRef \* MERGEFORMAT </w:instrText>
      </w:r>
      <w:r>
        <w:rPr>
          <w:rFonts w:hint="default" w:ascii="Times New Roman" w:hAnsi="Times New Roman" w:cs="Times New Roman"/>
          <w:color w:val="auto"/>
          <w:szCs w:val="24"/>
        </w:rPr>
        <w:fldChar w:fldCharType="begin"/>
      </w:r>
      <w:r>
        <w:rPr>
          <w:rFonts w:hint="default" w:ascii="Times New Roman" w:hAnsi="Times New Roman" w:cs="Times New Roman"/>
          <w:color w:val="auto"/>
          <w:szCs w:val="24"/>
        </w:rPr>
        <w:instrText xml:space="preserve"> SEQ MTEqn \h \* MERGEFORMAT </w:instrText>
      </w:r>
      <w:r>
        <w:rPr>
          <w:rFonts w:hint="default" w:ascii="Times New Roman" w:hAnsi="Times New Roman" w:cs="Times New Roman"/>
          <w:color w:val="auto"/>
          <w:szCs w:val="24"/>
        </w:rPr>
        <w:fldChar w:fldCharType="end"/>
      </w:r>
      <w:r>
        <w:rPr>
          <w:rFonts w:hint="default" w:ascii="Times New Roman" w:hAnsi="Times New Roman" w:cs="Times New Roman"/>
          <w:color w:val="auto"/>
          <w:szCs w:val="24"/>
        </w:rPr>
        <w:instrText xml:space="preserve">(</w:instrText>
      </w:r>
      <w:r>
        <w:rPr>
          <w:rFonts w:hint="default" w:ascii="Times New Roman" w:hAnsi="Times New Roman" w:cs="Times New Roman"/>
          <w:color w:val="auto"/>
          <w:szCs w:val="24"/>
        </w:rPr>
        <w:fldChar w:fldCharType="begin"/>
      </w:r>
      <w:r>
        <w:rPr>
          <w:rFonts w:hint="default" w:ascii="Times New Roman" w:hAnsi="Times New Roman" w:cs="Times New Roman"/>
          <w:color w:val="auto"/>
          <w:szCs w:val="24"/>
        </w:rPr>
        <w:instrText xml:space="preserve"> SEQ MTEqn \c \* Arabic \* MERGEFORMAT </w:instrText>
      </w:r>
      <w:r>
        <w:rPr>
          <w:rFonts w:hint="default" w:ascii="Times New Roman" w:hAnsi="Times New Roman" w:cs="Times New Roman"/>
          <w:color w:val="auto"/>
          <w:szCs w:val="24"/>
        </w:rPr>
        <w:fldChar w:fldCharType="separate"/>
      </w:r>
      <w:r>
        <w:rPr>
          <w:rFonts w:hint="default" w:ascii="Times New Roman" w:hAnsi="Times New Roman" w:cs="Times New Roman"/>
          <w:color w:val="auto"/>
          <w:szCs w:val="24"/>
        </w:rPr>
        <w:instrText xml:space="preserve">3</w:instrText>
      </w:r>
      <w:r>
        <w:rPr>
          <w:rFonts w:hint="default" w:ascii="Times New Roman" w:hAnsi="Times New Roman" w:cs="Times New Roman"/>
          <w:color w:val="auto"/>
          <w:szCs w:val="24"/>
        </w:rPr>
        <w:fldChar w:fldCharType="end"/>
      </w:r>
      <w:r>
        <w:rPr>
          <w:rFonts w:hint="default" w:ascii="Times New Roman" w:hAnsi="Times New Roman" w:cs="Times New Roman"/>
          <w:color w:val="auto"/>
          <w:szCs w:val="24"/>
        </w:rPr>
        <w:instrText xml:space="preserve">)</w:instrText>
      </w:r>
      <w:r>
        <w:rPr>
          <w:rFonts w:hint="default" w:ascii="Times New Roman" w:hAnsi="Times New Roman" w:cs="Times New Roman"/>
          <w:color w:val="auto"/>
          <w:szCs w:val="24"/>
        </w:rPr>
        <w:fldChar w:fldCharType="end"/>
      </w:r>
    </w:p>
    <w:p w14:paraId="346793C7">
      <w:pPr>
        <w:adjustRightInd w:val="0"/>
        <w:snapToGrid w:val="0"/>
        <w:ind w:left="1949" w:leftChars="262" w:hanging="1320" w:hangingChars="550"/>
        <w:rPr>
          <w:rFonts w:hint="default" w:ascii="Times New Roman" w:hAnsi="Times New Roman" w:cs="Times New Roman"/>
          <w:color w:val="auto"/>
          <w:szCs w:val="24"/>
        </w:rPr>
      </w:pPr>
      <w:r>
        <w:rPr>
          <w:rFonts w:hint="default" w:ascii="Times New Roman" w:hAnsi="Times New Roman" w:cs="Times New Roman"/>
          <w:color w:val="auto"/>
          <w:szCs w:val="24"/>
        </w:rPr>
        <w:t>式中：</w:t>
      </w:r>
      <w:r>
        <w:rPr>
          <w:rFonts w:hint="default" w:ascii="Times New Roman" w:hAnsi="Times New Roman" w:cs="Times New Roman"/>
          <w:i/>
          <w:iCs/>
          <w:color w:val="auto"/>
          <w:szCs w:val="24"/>
        </w:rPr>
        <w:t>C</w:t>
      </w:r>
      <w:r>
        <w:rPr>
          <w:rFonts w:hint="default" w:ascii="Times New Roman" w:hAnsi="Times New Roman" w:cs="Times New Roman"/>
          <w:i/>
          <w:iCs/>
          <w:color w:val="auto"/>
          <w:szCs w:val="24"/>
          <w:vertAlign w:val="subscript"/>
        </w:rPr>
        <w:t xml:space="preserve">hs </w:t>
      </w:r>
      <w:r>
        <w:rPr>
          <w:rFonts w:hint="default" w:ascii="Times New Roman" w:hAnsi="Times New Roman" w:cs="Times New Roman"/>
          <w:iCs/>
          <w:color w:val="auto"/>
          <w:szCs w:val="24"/>
        </w:rPr>
        <w:t>——</w:t>
      </w:r>
      <w:r>
        <w:rPr>
          <w:rFonts w:hint="eastAsia" w:cs="Times New Roman"/>
          <w:iCs/>
          <w:color w:val="auto"/>
          <w:szCs w:val="24"/>
          <w:lang w:val="en-US" w:eastAsia="zh-CN"/>
        </w:rPr>
        <w:t>批次内</w:t>
      </w:r>
      <w:r>
        <w:rPr>
          <w:rFonts w:hint="default" w:ascii="Times New Roman" w:hAnsi="Times New Roman" w:cs="Times New Roman"/>
          <w:iCs/>
          <w:color w:val="auto"/>
          <w:szCs w:val="24"/>
        </w:rPr>
        <w:t>化石</w:t>
      </w:r>
      <w:r>
        <w:rPr>
          <w:rFonts w:hint="default" w:ascii="Times New Roman" w:hAnsi="Times New Roman" w:cs="Times New Roman"/>
          <w:color w:val="auto"/>
          <w:szCs w:val="24"/>
        </w:rPr>
        <w:t>燃料燃烧产生的碳排放量，</w:t>
      </w:r>
      <w:r>
        <w:rPr>
          <w:rFonts w:hint="default" w:ascii="Times New Roman" w:hAnsi="Times New Roman" w:cs="Times New Roman"/>
          <w:color w:val="auto"/>
        </w:rPr>
        <w:t>t</w:t>
      </w:r>
      <w:r>
        <w:rPr>
          <w:rFonts w:hint="default" w:ascii="Times New Roman" w:hAnsi="Times New Roman" w:cs="Times New Roman"/>
          <w:color w:val="auto"/>
          <w:szCs w:val="24"/>
        </w:rPr>
        <w:t>CO</w:t>
      </w:r>
      <w:r>
        <w:rPr>
          <w:rFonts w:hint="default" w:ascii="Times New Roman" w:hAnsi="Times New Roman" w:cs="Times New Roman"/>
          <w:color w:val="auto"/>
          <w:szCs w:val="24"/>
          <w:vertAlign w:val="subscript"/>
        </w:rPr>
        <w:t>2</w:t>
      </w:r>
      <w:r>
        <w:rPr>
          <w:rFonts w:hint="default" w:ascii="Times New Roman" w:hAnsi="Times New Roman" w:cs="Times New Roman"/>
          <w:color w:val="auto"/>
          <w:szCs w:val="24"/>
        </w:rPr>
        <w:t>；</w:t>
      </w:r>
    </w:p>
    <w:p w14:paraId="049D0DE4">
      <w:pPr>
        <w:adjustRightInd w:val="0"/>
        <w:snapToGrid w:val="0"/>
        <w:ind w:left="2309" w:leftChars="562" w:hanging="960" w:hangingChars="400"/>
        <w:rPr>
          <w:rFonts w:hint="default" w:ascii="Times New Roman" w:hAnsi="Times New Roman" w:cs="Times New Roman"/>
          <w:color w:val="auto"/>
          <w:szCs w:val="24"/>
        </w:rPr>
      </w:pPr>
      <w:r>
        <w:rPr>
          <w:rFonts w:hint="default" w:ascii="Times New Roman" w:hAnsi="Times New Roman" w:cs="Times New Roman"/>
          <w:i/>
          <w:iCs/>
          <w:color w:val="auto"/>
          <w:szCs w:val="24"/>
        </w:rPr>
        <w:t>Q</w:t>
      </w:r>
      <w:r>
        <w:rPr>
          <w:rFonts w:hint="default" w:ascii="Times New Roman" w:hAnsi="Times New Roman" w:cs="Times New Roman"/>
          <w:i/>
          <w:color w:val="auto"/>
          <w:szCs w:val="24"/>
          <w:vertAlign w:val="subscript"/>
        </w:rPr>
        <w:t>hs，k</w:t>
      </w:r>
      <w:r>
        <w:rPr>
          <w:rFonts w:hint="default" w:ascii="Times New Roman" w:hAnsi="Times New Roman" w:cs="Times New Roman"/>
          <w:iCs/>
          <w:color w:val="auto"/>
          <w:szCs w:val="24"/>
        </w:rPr>
        <w:t>——</w:t>
      </w:r>
      <w:r>
        <w:rPr>
          <w:rFonts w:hint="eastAsia" w:cs="Times New Roman"/>
          <w:iCs/>
          <w:color w:val="auto"/>
          <w:szCs w:val="24"/>
          <w:lang w:val="en-US" w:eastAsia="zh-CN"/>
        </w:rPr>
        <w:t>批次</w:t>
      </w:r>
      <w:r>
        <w:rPr>
          <w:rFonts w:hint="default" w:ascii="Times New Roman" w:hAnsi="Times New Roman" w:cs="Times New Roman"/>
          <w:color w:val="auto"/>
          <w:szCs w:val="24"/>
        </w:rPr>
        <w:t>内第</w:t>
      </w:r>
      <w:r>
        <w:rPr>
          <w:rFonts w:hint="default" w:ascii="Times New Roman" w:hAnsi="Times New Roman" w:cs="Times New Roman"/>
          <w:i/>
          <w:iCs/>
          <w:color w:val="auto"/>
          <w:szCs w:val="24"/>
        </w:rPr>
        <w:t>k</w:t>
      </w:r>
      <w:r>
        <w:rPr>
          <w:rFonts w:hint="default" w:ascii="Times New Roman" w:hAnsi="Times New Roman" w:cs="Times New Roman"/>
          <w:color w:val="auto"/>
          <w:szCs w:val="24"/>
        </w:rPr>
        <w:t>种</w:t>
      </w:r>
      <w:r>
        <w:rPr>
          <w:rFonts w:hint="eastAsia" w:cs="Times New Roman"/>
          <w:color w:val="auto"/>
          <w:szCs w:val="24"/>
          <w:lang w:val="en-US" w:eastAsia="zh-CN"/>
        </w:rPr>
        <w:t>化石</w:t>
      </w:r>
      <w:r>
        <w:rPr>
          <w:rFonts w:hint="default" w:ascii="Times New Roman" w:hAnsi="Times New Roman" w:cs="Times New Roman"/>
          <w:color w:val="auto"/>
          <w:szCs w:val="24"/>
        </w:rPr>
        <w:t>燃料</w:t>
      </w:r>
      <w:r>
        <w:rPr>
          <w:rFonts w:hint="eastAsia" w:cs="Times New Roman"/>
          <w:color w:val="auto"/>
          <w:szCs w:val="24"/>
          <w:lang w:val="en-US" w:eastAsia="zh-CN"/>
        </w:rPr>
        <w:t>的净消耗量</w:t>
      </w:r>
      <w:r>
        <w:rPr>
          <w:rFonts w:hint="default" w:ascii="Times New Roman" w:hAnsi="Times New Roman" w:cs="Times New Roman"/>
          <w:color w:val="auto"/>
          <w:szCs w:val="24"/>
        </w:rPr>
        <w:t>，对固体和液体化石燃料，t；对气体化石燃料，10</w:t>
      </w:r>
      <w:r>
        <w:rPr>
          <w:rFonts w:hint="default" w:ascii="Times New Roman" w:hAnsi="Times New Roman" w:cs="Times New Roman"/>
          <w:color w:val="auto"/>
          <w:szCs w:val="24"/>
          <w:vertAlign w:val="superscript"/>
        </w:rPr>
        <w:t>4</w:t>
      </w:r>
      <w:r>
        <w:rPr>
          <w:rFonts w:hint="default" w:ascii="Times New Roman" w:hAnsi="Times New Roman" w:cs="Times New Roman"/>
          <w:color w:val="auto"/>
          <w:szCs w:val="24"/>
        </w:rPr>
        <w:t>Nm</w:t>
      </w:r>
      <w:r>
        <w:rPr>
          <w:rFonts w:hint="eastAsia" w:cs="Times New Roman"/>
          <w:color w:val="auto"/>
          <w:szCs w:val="24"/>
          <w:vertAlign w:val="superscript"/>
          <w:lang w:val="en-US" w:eastAsia="zh-CN"/>
        </w:rPr>
        <w:t>3</w:t>
      </w:r>
      <w:r>
        <w:rPr>
          <w:rFonts w:hint="default" w:ascii="Times New Roman" w:hAnsi="Times New Roman" w:cs="Times New Roman"/>
          <w:color w:val="auto"/>
          <w:szCs w:val="24"/>
        </w:rPr>
        <w:t>；</w:t>
      </w:r>
    </w:p>
    <w:p w14:paraId="182A9A14">
      <w:pPr>
        <w:adjustRightInd w:val="0"/>
        <w:snapToGrid w:val="0"/>
        <w:ind w:left="2189" w:leftChars="562" w:hanging="840" w:hangingChars="350"/>
        <w:rPr>
          <w:rFonts w:hint="default" w:ascii="Times New Roman" w:hAnsi="Times New Roman" w:cs="Times New Roman"/>
          <w:color w:val="auto"/>
          <w:szCs w:val="24"/>
        </w:rPr>
      </w:pPr>
      <w:r>
        <w:rPr>
          <w:rFonts w:hint="eastAsia" w:cs="Times New Roman"/>
          <w:i/>
          <w:iCs/>
          <w:color w:val="auto"/>
          <w:szCs w:val="24"/>
          <w:lang w:val="en-US" w:eastAsia="zh-CN"/>
        </w:rPr>
        <w:t>NCV</w:t>
      </w:r>
      <w:r>
        <w:rPr>
          <w:rFonts w:hint="default" w:ascii="Times New Roman" w:hAnsi="Times New Roman" w:cs="Times New Roman"/>
          <w:i/>
          <w:color w:val="auto"/>
          <w:szCs w:val="24"/>
          <w:vertAlign w:val="subscript"/>
        </w:rPr>
        <w:t>hs</w:t>
      </w:r>
      <w:r>
        <w:rPr>
          <w:rFonts w:hint="default" w:ascii="Times New Roman" w:hAnsi="Times New Roman" w:cs="Times New Roman"/>
          <w:i/>
          <w:color w:val="auto"/>
          <w:szCs w:val="24"/>
          <w:vertAlign w:val="subscript"/>
          <w:lang w:eastAsia="zh-CN"/>
        </w:rPr>
        <w:t>,</w:t>
      </w:r>
      <w:r>
        <w:rPr>
          <w:rFonts w:hint="default" w:ascii="Times New Roman" w:hAnsi="Times New Roman" w:cs="Times New Roman"/>
          <w:i/>
          <w:color w:val="auto"/>
          <w:szCs w:val="24"/>
          <w:vertAlign w:val="subscript"/>
        </w:rPr>
        <w:t>k</w:t>
      </w:r>
      <w:r>
        <w:rPr>
          <w:rFonts w:hint="default" w:ascii="Times New Roman" w:hAnsi="Times New Roman" w:cs="Times New Roman"/>
          <w:iCs/>
          <w:color w:val="auto"/>
          <w:szCs w:val="24"/>
        </w:rPr>
        <w:t>——</w:t>
      </w:r>
      <w:r>
        <w:rPr>
          <w:rFonts w:hint="default" w:ascii="Times New Roman" w:hAnsi="Times New Roman" w:cs="Times New Roman"/>
          <w:color w:val="auto"/>
          <w:szCs w:val="24"/>
        </w:rPr>
        <w:t>第</w:t>
      </w:r>
      <w:r>
        <w:rPr>
          <w:rFonts w:hint="default" w:ascii="Times New Roman" w:hAnsi="Times New Roman" w:cs="Times New Roman"/>
          <w:i/>
          <w:iCs/>
          <w:color w:val="auto"/>
          <w:szCs w:val="24"/>
        </w:rPr>
        <w:t>k</w:t>
      </w:r>
      <w:r>
        <w:rPr>
          <w:rFonts w:hint="default" w:ascii="Times New Roman" w:hAnsi="Times New Roman" w:cs="Times New Roman"/>
          <w:color w:val="auto"/>
          <w:szCs w:val="24"/>
        </w:rPr>
        <w:t>种</w:t>
      </w:r>
      <w:r>
        <w:rPr>
          <w:rFonts w:ascii="宋体" w:hAnsi="宋体" w:eastAsia="宋体" w:cs="宋体"/>
          <w:sz w:val="24"/>
          <w:szCs w:val="24"/>
        </w:rPr>
        <w:t>化石</w:t>
      </w:r>
      <w:r>
        <w:rPr>
          <w:rFonts w:hint="default" w:ascii="Times New Roman" w:hAnsi="Times New Roman" w:cs="Times New Roman"/>
          <w:color w:val="auto"/>
          <w:szCs w:val="24"/>
        </w:rPr>
        <w:t>燃料的平均低位发热量，对固体和液体化石燃料，GJ/t；对气体化石燃料，GJ/10</w:t>
      </w:r>
      <w:r>
        <w:rPr>
          <w:rFonts w:hint="default" w:ascii="Times New Roman" w:hAnsi="Times New Roman" w:cs="Times New Roman"/>
          <w:color w:val="auto"/>
          <w:szCs w:val="24"/>
          <w:vertAlign w:val="superscript"/>
        </w:rPr>
        <w:t>4</w:t>
      </w:r>
      <w:r>
        <w:rPr>
          <w:rFonts w:hint="default" w:ascii="Times New Roman" w:hAnsi="Times New Roman" w:cs="Times New Roman"/>
          <w:color w:val="auto"/>
          <w:szCs w:val="24"/>
        </w:rPr>
        <w:t>Nm</w:t>
      </w:r>
      <w:r>
        <w:rPr>
          <w:rFonts w:hint="eastAsia" w:cs="Times New Roman"/>
          <w:color w:val="auto"/>
          <w:szCs w:val="24"/>
          <w:vertAlign w:val="superscript"/>
          <w:lang w:val="en-US" w:eastAsia="zh-CN"/>
        </w:rPr>
        <w:t>3</w:t>
      </w:r>
      <w:r>
        <w:rPr>
          <w:rFonts w:hint="default" w:ascii="Times New Roman" w:hAnsi="Times New Roman" w:cs="Times New Roman"/>
          <w:color w:val="auto"/>
          <w:szCs w:val="24"/>
        </w:rPr>
        <w:t>；</w:t>
      </w:r>
    </w:p>
    <w:p w14:paraId="3565B839">
      <w:pPr>
        <w:adjustRightInd w:val="0"/>
        <w:snapToGrid w:val="0"/>
        <w:ind w:left="2160" w:leftChars="550" w:hanging="840" w:hangingChars="350"/>
        <w:rPr>
          <w:rFonts w:hint="default" w:ascii="Times New Roman" w:hAnsi="Times New Roman" w:cs="Times New Roman"/>
          <w:color w:val="auto"/>
          <w:szCs w:val="24"/>
        </w:rPr>
      </w:pPr>
      <w:r>
        <w:rPr>
          <w:rFonts w:hint="default" w:ascii="Times New Roman" w:hAnsi="Times New Roman" w:cs="Times New Roman"/>
          <w:i/>
          <w:iCs/>
          <w:color w:val="auto"/>
          <w:szCs w:val="24"/>
        </w:rPr>
        <w:t>E</w:t>
      </w:r>
      <w:r>
        <w:rPr>
          <w:rFonts w:hint="default" w:ascii="Times New Roman" w:hAnsi="Times New Roman" w:cs="Times New Roman"/>
          <w:i/>
          <w:iCs/>
          <w:color w:val="auto"/>
          <w:szCs w:val="24"/>
          <w:vertAlign w:val="subscript"/>
        </w:rPr>
        <w:t>hs，k</w:t>
      </w:r>
      <w:r>
        <w:rPr>
          <w:rFonts w:hint="default" w:ascii="Times New Roman" w:hAnsi="Times New Roman" w:cs="Times New Roman"/>
          <w:color w:val="auto"/>
          <w:szCs w:val="24"/>
        </w:rPr>
        <w:t>——第</w:t>
      </w:r>
      <w:r>
        <w:rPr>
          <w:rFonts w:hint="default" w:ascii="Times New Roman" w:hAnsi="Times New Roman" w:cs="Times New Roman"/>
          <w:i/>
          <w:iCs/>
          <w:color w:val="auto"/>
          <w:szCs w:val="24"/>
        </w:rPr>
        <w:t>k</w:t>
      </w:r>
      <w:r>
        <w:rPr>
          <w:rFonts w:hint="default" w:ascii="Times New Roman" w:hAnsi="Times New Roman" w:cs="Times New Roman"/>
          <w:color w:val="auto"/>
          <w:szCs w:val="24"/>
        </w:rPr>
        <w:t>种</w:t>
      </w:r>
      <w:r>
        <w:rPr>
          <w:rFonts w:ascii="宋体" w:hAnsi="宋体" w:eastAsia="宋体" w:cs="宋体"/>
          <w:sz w:val="24"/>
          <w:szCs w:val="24"/>
        </w:rPr>
        <w:t>化石</w:t>
      </w:r>
      <w:r>
        <w:rPr>
          <w:rFonts w:hint="default" w:ascii="Times New Roman" w:hAnsi="Times New Roman" w:cs="Times New Roman"/>
          <w:color w:val="auto"/>
          <w:szCs w:val="24"/>
        </w:rPr>
        <w:t>燃料的</w:t>
      </w:r>
      <w:r>
        <w:rPr>
          <w:rFonts w:hint="eastAsia" w:cs="Times New Roman"/>
          <w:color w:val="auto"/>
          <w:szCs w:val="24"/>
          <w:lang w:eastAsia="zh-CN"/>
        </w:rPr>
        <w:t>排放因子</w:t>
      </w:r>
      <w:r>
        <w:rPr>
          <w:rFonts w:hint="default" w:ascii="Times New Roman" w:hAnsi="Times New Roman" w:cs="Times New Roman"/>
          <w:color w:val="auto"/>
          <w:szCs w:val="24"/>
        </w:rPr>
        <w:t>，</w:t>
      </w:r>
      <w:r>
        <w:rPr>
          <w:rFonts w:hint="eastAsia" w:cs="Times New Roman"/>
          <w:color w:val="auto"/>
          <w:szCs w:val="24"/>
          <w:lang w:val="en-US" w:eastAsia="zh-CN"/>
        </w:rPr>
        <w:t>t</w:t>
      </w:r>
      <w:r>
        <w:rPr>
          <w:rFonts w:hint="default" w:ascii="Times New Roman" w:hAnsi="Times New Roman" w:cs="Times New Roman"/>
          <w:color w:val="auto"/>
          <w:szCs w:val="24"/>
        </w:rPr>
        <w:t>CO</w:t>
      </w:r>
      <w:r>
        <w:rPr>
          <w:rFonts w:hint="default" w:ascii="Times New Roman" w:hAnsi="Times New Roman" w:cs="Times New Roman"/>
          <w:color w:val="auto"/>
          <w:szCs w:val="24"/>
          <w:vertAlign w:val="subscript"/>
        </w:rPr>
        <w:t>2</w:t>
      </w:r>
      <w:r>
        <w:rPr>
          <w:rFonts w:hint="default" w:ascii="Times New Roman" w:hAnsi="Times New Roman" w:cs="Times New Roman"/>
          <w:color w:val="auto"/>
          <w:szCs w:val="24"/>
        </w:rPr>
        <w:t>/</w:t>
      </w:r>
      <w:r>
        <w:rPr>
          <w:rFonts w:hint="eastAsia" w:cs="Times New Roman"/>
          <w:color w:val="auto"/>
          <w:szCs w:val="24"/>
          <w:lang w:val="en-US" w:eastAsia="zh-CN"/>
        </w:rPr>
        <w:t>G</w:t>
      </w:r>
      <w:r>
        <w:rPr>
          <w:rFonts w:hint="default" w:ascii="Times New Roman" w:hAnsi="Times New Roman" w:cs="Times New Roman"/>
          <w:color w:val="auto"/>
          <w:szCs w:val="24"/>
        </w:rPr>
        <w:t>J；</w:t>
      </w:r>
    </w:p>
    <w:p w14:paraId="6C88B7A0">
      <w:pPr>
        <w:rPr>
          <w:rFonts w:hint="default" w:ascii="Times New Roman" w:hAnsi="Times New Roman" w:cs="Times New Roman"/>
          <w:color w:val="auto"/>
          <w:szCs w:val="24"/>
        </w:rPr>
      </w:pPr>
      <w:bookmarkStart w:id="77" w:name="_Toc188229743"/>
      <w:bookmarkStart w:id="78" w:name="_Toc188229712"/>
      <w:r>
        <w:rPr>
          <w:rFonts w:hint="default" w:ascii="Times New Roman" w:hAnsi="Times New Roman" w:cs="Times New Roman"/>
          <w:color w:val="auto"/>
          <w:szCs w:val="24"/>
        </w:rPr>
        <w:t>6.2.3非能源介质过程排放量</w:t>
      </w:r>
      <w:bookmarkEnd w:id="77"/>
      <w:bookmarkEnd w:id="78"/>
    </w:p>
    <w:p w14:paraId="53F95808">
      <w:pPr>
        <w:ind w:firstLine="480" w:firstLineChars="200"/>
        <w:rPr>
          <w:rFonts w:hint="default" w:ascii="Times New Roman" w:hAnsi="Times New Roman" w:cs="Times New Roman"/>
          <w:color w:val="auto"/>
          <w:szCs w:val="24"/>
        </w:rPr>
      </w:pPr>
      <w:r>
        <w:rPr>
          <w:rFonts w:hint="default" w:ascii="Times New Roman" w:hAnsi="Times New Roman" w:cs="Times New Roman"/>
          <w:color w:val="auto"/>
          <w:szCs w:val="24"/>
        </w:rPr>
        <w:t>非能源介质过程排放产生的二氧化碳排放量，按式（4）计算：</w:t>
      </w:r>
    </w:p>
    <w:p w14:paraId="1FB2FBC2">
      <w:pPr>
        <w:pStyle w:val="39"/>
        <w:rPr>
          <w:rFonts w:hint="default" w:ascii="Times New Roman" w:hAnsi="Times New Roman" w:cs="Times New Roman"/>
          <w:color w:val="auto"/>
          <w:szCs w:val="24"/>
        </w:rPr>
      </w:pPr>
      <w:r>
        <w:rPr>
          <w:rFonts w:hint="default" w:ascii="Times New Roman" w:hAnsi="Times New Roman" w:cs="Times New Roman"/>
          <w:color w:val="auto"/>
          <w:szCs w:val="24"/>
        </w:rPr>
        <w:tab/>
      </w:r>
      <w:r>
        <w:rPr>
          <w:rFonts w:hint="default" w:ascii="Times New Roman" w:hAnsi="Times New Roman" w:cs="Times New Roman"/>
          <w:color w:val="auto"/>
          <w:position w:val="-28"/>
          <w:szCs w:val="24"/>
        </w:rPr>
        <w:object>
          <v:shape id="_x0000_i1028" o:spt="75" type="#_x0000_t75" style="height:34pt;width:85pt;" o:ole="t" filled="f" o:preferrelative="t" stroked="f" coordsize="21600,21600">
            <v:path/>
            <v:fill on="f" focussize="0,0"/>
            <v:stroke on="f" joinstyle="miter"/>
            <v:imagedata r:id="rId19" o:title=""/>
            <o:lock v:ext="edit" aspectratio="t"/>
            <w10:wrap type="none"/>
            <w10:anchorlock/>
          </v:shape>
          <o:OLEObject Type="Embed" ProgID="Equation.DSMT4" ShapeID="_x0000_i1028" DrawAspect="Content" ObjectID="_1468075728" r:id="rId18">
            <o:LockedField>false</o:LockedField>
          </o:OLEObject>
        </w:object>
      </w:r>
      <w:r>
        <w:rPr>
          <w:rFonts w:hint="default" w:ascii="Times New Roman" w:hAnsi="Times New Roman" w:cs="Times New Roman"/>
          <w:color w:val="auto"/>
          <w:szCs w:val="24"/>
        </w:rPr>
        <w:tab/>
      </w:r>
      <w:r>
        <w:rPr>
          <w:rFonts w:hint="default" w:ascii="Times New Roman" w:hAnsi="Times New Roman" w:cs="Times New Roman"/>
          <w:color w:val="auto"/>
          <w:szCs w:val="24"/>
        </w:rPr>
        <w:fldChar w:fldCharType="begin"/>
      </w:r>
      <w:r>
        <w:rPr>
          <w:rFonts w:hint="default" w:ascii="Times New Roman" w:hAnsi="Times New Roman" w:cs="Times New Roman"/>
          <w:color w:val="auto"/>
          <w:szCs w:val="24"/>
        </w:rPr>
        <w:instrText xml:space="preserve"> MACROBUTTON MTPlaceRef \* MERGEFORMAT </w:instrText>
      </w:r>
      <w:r>
        <w:rPr>
          <w:rFonts w:hint="default" w:ascii="Times New Roman" w:hAnsi="Times New Roman" w:cs="Times New Roman"/>
          <w:color w:val="auto"/>
          <w:szCs w:val="24"/>
        </w:rPr>
        <w:fldChar w:fldCharType="begin"/>
      </w:r>
      <w:r>
        <w:rPr>
          <w:rFonts w:hint="default" w:ascii="Times New Roman" w:hAnsi="Times New Roman" w:cs="Times New Roman"/>
          <w:color w:val="auto"/>
          <w:szCs w:val="24"/>
        </w:rPr>
        <w:instrText xml:space="preserve"> SEQ MTEqn \h \* MERGEFORMAT </w:instrText>
      </w:r>
      <w:r>
        <w:rPr>
          <w:rFonts w:hint="default" w:ascii="Times New Roman" w:hAnsi="Times New Roman" w:cs="Times New Roman"/>
          <w:color w:val="auto"/>
          <w:szCs w:val="24"/>
        </w:rPr>
        <w:fldChar w:fldCharType="end"/>
      </w:r>
      <w:r>
        <w:rPr>
          <w:rFonts w:hint="default" w:ascii="Times New Roman" w:hAnsi="Times New Roman" w:cs="Times New Roman"/>
          <w:color w:val="auto"/>
          <w:szCs w:val="24"/>
        </w:rPr>
        <w:instrText xml:space="preserve">(</w:instrText>
      </w:r>
      <w:r>
        <w:rPr>
          <w:rFonts w:hint="default" w:ascii="Times New Roman" w:hAnsi="Times New Roman" w:cs="Times New Roman"/>
          <w:color w:val="auto"/>
          <w:szCs w:val="24"/>
        </w:rPr>
        <w:fldChar w:fldCharType="begin"/>
      </w:r>
      <w:r>
        <w:rPr>
          <w:rFonts w:hint="default" w:ascii="Times New Roman" w:hAnsi="Times New Roman" w:cs="Times New Roman"/>
          <w:color w:val="auto"/>
          <w:szCs w:val="24"/>
        </w:rPr>
        <w:instrText xml:space="preserve"> SEQ MTEqn \c \* Arabic \* MERGEFORMAT </w:instrText>
      </w:r>
      <w:r>
        <w:rPr>
          <w:rFonts w:hint="default" w:ascii="Times New Roman" w:hAnsi="Times New Roman" w:cs="Times New Roman"/>
          <w:color w:val="auto"/>
          <w:szCs w:val="24"/>
        </w:rPr>
        <w:fldChar w:fldCharType="separate"/>
      </w:r>
      <w:r>
        <w:rPr>
          <w:rFonts w:hint="default" w:ascii="Times New Roman" w:hAnsi="Times New Roman" w:cs="Times New Roman"/>
          <w:color w:val="auto"/>
          <w:szCs w:val="24"/>
        </w:rPr>
        <w:instrText xml:space="preserve">4</w:instrText>
      </w:r>
      <w:r>
        <w:rPr>
          <w:rFonts w:hint="default" w:ascii="Times New Roman" w:hAnsi="Times New Roman" w:cs="Times New Roman"/>
          <w:color w:val="auto"/>
          <w:szCs w:val="24"/>
        </w:rPr>
        <w:fldChar w:fldCharType="end"/>
      </w:r>
      <w:r>
        <w:rPr>
          <w:rFonts w:hint="default" w:ascii="Times New Roman" w:hAnsi="Times New Roman" w:cs="Times New Roman"/>
          <w:color w:val="auto"/>
          <w:szCs w:val="24"/>
        </w:rPr>
        <w:instrText xml:space="preserve">)</w:instrText>
      </w:r>
      <w:r>
        <w:rPr>
          <w:rFonts w:hint="default" w:ascii="Times New Roman" w:hAnsi="Times New Roman" w:cs="Times New Roman"/>
          <w:color w:val="auto"/>
          <w:szCs w:val="24"/>
        </w:rPr>
        <w:fldChar w:fldCharType="end"/>
      </w:r>
    </w:p>
    <w:p w14:paraId="3070F494">
      <w:pPr>
        <w:adjustRightInd w:val="0"/>
        <w:snapToGrid w:val="0"/>
        <w:ind w:firstLine="720" w:firstLineChars="300"/>
        <w:rPr>
          <w:rFonts w:hint="default" w:ascii="Times New Roman" w:hAnsi="Times New Roman" w:cs="Times New Roman"/>
          <w:color w:val="auto"/>
          <w:szCs w:val="24"/>
        </w:rPr>
      </w:pPr>
      <w:r>
        <w:rPr>
          <w:rFonts w:hint="default" w:ascii="Times New Roman" w:hAnsi="Times New Roman" w:cs="Times New Roman"/>
          <w:color w:val="auto"/>
          <w:szCs w:val="24"/>
        </w:rPr>
        <w:t>式中：</w:t>
      </w:r>
      <w:r>
        <w:rPr>
          <w:rFonts w:hint="default" w:ascii="Times New Roman" w:hAnsi="Times New Roman" w:cs="Times New Roman"/>
          <w:i/>
          <w:iCs/>
          <w:color w:val="auto"/>
          <w:szCs w:val="24"/>
        </w:rPr>
        <w:t>C</w:t>
      </w:r>
      <w:r>
        <w:rPr>
          <w:rFonts w:hint="default" w:ascii="Times New Roman" w:hAnsi="Times New Roman" w:cs="Times New Roman"/>
          <w:i/>
          <w:iCs/>
          <w:color w:val="auto"/>
          <w:szCs w:val="24"/>
          <w:vertAlign w:val="subscript"/>
        </w:rPr>
        <w:t xml:space="preserve">fn </w:t>
      </w:r>
      <w:r>
        <w:rPr>
          <w:rFonts w:hint="default" w:ascii="Times New Roman" w:hAnsi="Times New Roman" w:cs="Times New Roman"/>
          <w:i/>
          <w:iCs/>
          <w:color w:val="auto"/>
          <w:szCs w:val="24"/>
        </w:rPr>
        <w:t>——</w:t>
      </w:r>
      <w:r>
        <w:rPr>
          <w:rFonts w:hint="default" w:ascii="Times New Roman" w:hAnsi="Times New Roman" w:cs="Times New Roman"/>
          <w:iCs/>
          <w:color w:val="auto"/>
          <w:szCs w:val="24"/>
        </w:rPr>
        <w:t>非能源介质</w:t>
      </w:r>
      <w:r>
        <w:rPr>
          <w:rFonts w:hint="default" w:ascii="Times New Roman" w:hAnsi="Times New Roman" w:cs="Times New Roman"/>
          <w:color w:val="auto"/>
          <w:szCs w:val="24"/>
        </w:rPr>
        <w:t>过程排放产生</w:t>
      </w:r>
      <w:r>
        <w:rPr>
          <w:rFonts w:hint="default" w:ascii="Times New Roman" w:hAnsi="Times New Roman" w:cs="Times New Roman"/>
          <w:iCs/>
          <w:color w:val="auto"/>
          <w:szCs w:val="24"/>
        </w:rPr>
        <w:t>的碳排放量</w:t>
      </w:r>
      <w:r>
        <w:rPr>
          <w:rFonts w:hint="default" w:ascii="Times New Roman" w:hAnsi="Times New Roman" w:cs="Times New Roman"/>
          <w:i w:val="0"/>
          <w:iCs w:val="0"/>
          <w:color w:val="auto"/>
          <w:szCs w:val="24"/>
        </w:rPr>
        <w:t>，</w:t>
      </w:r>
      <w:r>
        <w:rPr>
          <w:rFonts w:hint="default" w:ascii="Times New Roman" w:hAnsi="Times New Roman" w:cs="Times New Roman"/>
          <w:color w:val="auto"/>
        </w:rPr>
        <w:t>t</w:t>
      </w:r>
      <w:r>
        <w:rPr>
          <w:rFonts w:hint="default" w:ascii="Times New Roman" w:hAnsi="Times New Roman" w:cs="Times New Roman"/>
          <w:color w:val="auto"/>
          <w:szCs w:val="24"/>
        </w:rPr>
        <w:t>CO</w:t>
      </w:r>
      <w:r>
        <w:rPr>
          <w:rFonts w:hint="default" w:ascii="Times New Roman" w:hAnsi="Times New Roman" w:cs="Times New Roman"/>
          <w:color w:val="auto"/>
          <w:szCs w:val="24"/>
          <w:vertAlign w:val="subscript"/>
        </w:rPr>
        <w:t>2</w:t>
      </w:r>
      <w:r>
        <w:rPr>
          <w:rFonts w:hint="default" w:ascii="Times New Roman" w:hAnsi="Times New Roman" w:cs="Times New Roman"/>
          <w:color w:val="auto"/>
          <w:szCs w:val="24"/>
        </w:rPr>
        <w:t>；</w:t>
      </w:r>
    </w:p>
    <w:p w14:paraId="7863A6F5">
      <w:pPr>
        <w:adjustRightInd w:val="0"/>
        <w:snapToGrid w:val="0"/>
        <w:ind w:firstLine="1440" w:firstLineChars="600"/>
        <w:rPr>
          <w:rFonts w:hint="default" w:ascii="Times New Roman" w:hAnsi="Times New Roman" w:cs="Times New Roman"/>
          <w:i/>
          <w:iCs/>
          <w:color w:val="auto"/>
          <w:szCs w:val="24"/>
          <w:vertAlign w:val="subscript"/>
        </w:rPr>
      </w:pPr>
      <w:r>
        <w:rPr>
          <w:rFonts w:hint="default" w:ascii="Times New Roman" w:hAnsi="Times New Roman" w:cs="Times New Roman"/>
          <w:i/>
          <w:iCs/>
          <w:color w:val="auto"/>
          <w:szCs w:val="24"/>
        </w:rPr>
        <w:t>Q</w:t>
      </w:r>
      <w:r>
        <w:rPr>
          <w:rFonts w:hint="default" w:ascii="Times New Roman" w:hAnsi="Times New Roman" w:cs="Times New Roman"/>
          <w:i/>
          <w:iCs/>
          <w:color w:val="auto"/>
          <w:szCs w:val="24"/>
          <w:vertAlign w:val="subscript"/>
        </w:rPr>
        <w:t xml:space="preserve">fn, k </w:t>
      </w:r>
      <w:r>
        <w:rPr>
          <w:rFonts w:hint="default" w:ascii="Times New Roman" w:hAnsi="Times New Roman" w:cs="Times New Roman"/>
          <w:i/>
          <w:iCs/>
          <w:color w:val="auto"/>
          <w:szCs w:val="24"/>
        </w:rPr>
        <w:t>——</w:t>
      </w:r>
      <w:r>
        <w:rPr>
          <w:rFonts w:hint="default" w:ascii="Times New Roman" w:hAnsi="Times New Roman" w:cs="Times New Roman"/>
          <w:color w:val="auto"/>
          <w:szCs w:val="24"/>
        </w:rPr>
        <w:t>第</w:t>
      </w:r>
      <w:r>
        <w:rPr>
          <w:rFonts w:hint="default" w:ascii="Times New Roman" w:hAnsi="Times New Roman" w:cs="Times New Roman"/>
          <w:i/>
          <w:iCs/>
          <w:color w:val="auto"/>
          <w:szCs w:val="24"/>
        </w:rPr>
        <w:t>k</w:t>
      </w:r>
      <w:r>
        <w:rPr>
          <w:rFonts w:hint="default" w:ascii="Times New Roman" w:hAnsi="Times New Roman" w:cs="Times New Roman"/>
          <w:color w:val="auto"/>
          <w:szCs w:val="24"/>
        </w:rPr>
        <w:t>种编码对应非能源介质的消耗量</w:t>
      </w:r>
      <w:r>
        <w:rPr>
          <w:rFonts w:hint="default" w:ascii="Times New Roman" w:hAnsi="Times New Roman" w:cs="Times New Roman"/>
          <w:i w:val="0"/>
          <w:iCs w:val="0"/>
          <w:color w:val="auto"/>
          <w:szCs w:val="24"/>
        </w:rPr>
        <w:t>，</w:t>
      </w:r>
      <w:r>
        <w:rPr>
          <w:rFonts w:hint="default" w:ascii="Times New Roman" w:hAnsi="Times New Roman" w:cs="Times New Roman"/>
          <w:color w:val="auto"/>
          <w:szCs w:val="24"/>
        </w:rPr>
        <w:t>t；</w:t>
      </w:r>
    </w:p>
    <w:p w14:paraId="2208F300">
      <w:pPr>
        <w:adjustRightInd w:val="0"/>
        <w:snapToGrid w:val="0"/>
        <w:ind w:left="2160" w:leftChars="600" w:hanging="720" w:hangingChars="300"/>
        <w:rPr>
          <w:rFonts w:hint="default" w:ascii="Times New Roman" w:hAnsi="Times New Roman" w:cs="Times New Roman"/>
          <w:color w:val="auto"/>
          <w:szCs w:val="24"/>
        </w:rPr>
      </w:pPr>
      <w:r>
        <w:rPr>
          <w:rFonts w:hint="default" w:ascii="Times New Roman" w:hAnsi="Times New Roman" w:cs="Times New Roman"/>
          <w:i/>
          <w:iCs/>
          <w:color w:val="auto"/>
          <w:szCs w:val="24"/>
        </w:rPr>
        <w:t>E</w:t>
      </w:r>
      <w:r>
        <w:rPr>
          <w:rFonts w:hint="default" w:ascii="Times New Roman" w:hAnsi="Times New Roman" w:cs="Times New Roman"/>
          <w:i/>
          <w:iCs/>
          <w:color w:val="auto"/>
          <w:szCs w:val="24"/>
          <w:vertAlign w:val="subscript"/>
        </w:rPr>
        <w:t>fn, k</w:t>
      </w:r>
      <w:r>
        <w:rPr>
          <w:rFonts w:hint="default" w:ascii="Times New Roman" w:hAnsi="Times New Roman" w:cs="Times New Roman"/>
          <w:i/>
          <w:iCs/>
          <w:color w:val="auto"/>
          <w:szCs w:val="24"/>
        </w:rPr>
        <w:t>——</w:t>
      </w:r>
      <w:r>
        <w:rPr>
          <w:rFonts w:hint="default" w:ascii="Times New Roman" w:hAnsi="Times New Roman" w:cs="Times New Roman"/>
          <w:color w:val="auto"/>
          <w:szCs w:val="24"/>
        </w:rPr>
        <w:t>第</w:t>
      </w:r>
      <w:r>
        <w:rPr>
          <w:rFonts w:hint="default" w:ascii="Times New Roman" w:hAnsi="Times New Roman" w:cs="Times New Roman"/>
          <w:i/>
          <w:iCs/>
          <w:color w:val="auto"/>
          <w:szCs w:val="24"/>
        </w:rPr>
        <w:t>k</w:t>
      </w:r>
      <w:r>
        <w:rPr>
          <w:rFonts w:hint="default" w:ascii="Times New Roman" w:hAnsi="Times New Roman" w:cs="Times New Roman"/>
          <w:color w:val="auto"/>
          <w:szCs w:val="24"/>
        </w:rPr>
        <w:t>种编码对应非能源介质的</w:t>
      </w:r>
      <w:r>
        <w:rPr>
          <w:rFonts w:hint="eastAsia" w:cs="Times New Roman"/>
          <w:color w:val="auto"/>
          <w:szCs w:val="24"/>
          <w:lang w:eastAsia="zh-CN"/>
        </w:rPr>
        <w:t>排放因子</w:t>
      </w:r>
      <w:r>
        <w:rPr>
          <w:rFonts w:hint="default" w:ascii="Times New Roman" w:hAnsi="Times New Roman" w:cs="Times New Roman"/>
          <w:color w:val="auto"/>
          <w:szCs w:val="24"/>
        </w:rPr>
        <w:t>，</w:t>
      </w:r>
      <w:r>
        <w:rPr>
          <w:rFonts w:hint="default" w:ascii="Times New Roman" w:hAnsi="Times New Roman" w:cs="Times New Roman"/>
          <w:color w:val="auto"/>
        </w:rPr>
        <w:t>t</w:t>
      </w:r>
      <w:r>
        <w:rPr>
          <w:rFonts w:hint="default" w:ascii="Times New Roman" w:hAnsi="Times New Roman" w:cs="Times New Roman"/>
          <w:color w:val="auto"/>
          <w:szCs w:val="24"/>
        </w:rPr>
        <w:t>CO</w:t>
      </w:r>
      <w:r>
        <w:rPr>
          <w:rFonts w:hint="default" w:ascii="Times New Roman" w:hAnsi="Times New Roman" w:cs="Times New Roman"/>
          <w:color w:val="auto"/>
          <w:szCs w:val="24"/>
          <w:vertAlign w:val="subscript"/>
        </w:rPr>
        <w:t>2</w:t>
      </w:r>
      <w:r>
        <w:rPr>
          <w:rFonts w:hint="default" w:ascii="Times New Roman" w:hAnsi="Times New Roman" w:cs="Times New Roman"/>
          <w:color w:val="auto"/>
          <w:szCs w:val="24"/>
        </w:rPr>
        <w:t>/t；</w:t>
      </w:r>
    </w:p>
    <w:p w14:paraId="7676410E">
      <w:pPr>
        <w:rPr>
          <w:rFonts w:hint="default" w:ascii="Times New Roman" w:hAnsi="Times New Roman" w:cs="Times New Roman"/>
          <w:color w:val="auto"/>
          <w:szCs w:val="24"/>
        </w:rPr>
      </w:pPr>
      <w:bookmarkStart w:id="79" w:name="_Toc188229744"/>
      <w:bookmarkStart w:id="80" w:name="_Toc188229713"/>
      <w:r>
        <w:rPr>
          <w:rFonts w:hint="default" w:ascii="Times New Roman" w:hAnsi="Times New Roman" w:cs="Times New Roman"/>
          <w:color w:val="auto"/>
          <w:szCs w:val="24"/>
        </w:rPr>
        <w:t>6.2.4 特殊物质过程排放量</w:t>
      </w:r>
      <w:bookmarkEnd w:id="79"/>
      <w:bookmarkEnd w:id="80"/>
    </w:p>
    <w:p w14:paraId="31AA9C5D">
      <w:pPr>
        <w:ind w:firstLine="480" w:firstLineChars="200"/>
        <w:rPr>
          <w:rFonts w:hint="default" w:ascii="Times New Roman" w:hAnsi="Times New Roman" w:cs="Times New Roman"/>
          <w:color w:val="auto"/>
          <w:szCs w:val="24"/>
        </w:rPr>
      </w:pPr>
      <w:bookmarkStart w:id="81" w:name="_Hlk188230377"/>
      <w:r>
        <w:rPr>
          <w:rFonts w:hint="default" w:ascii="Times New Roman" w:hAnsi="Times New Roman" w:cs="Times New Roman"/>
          <w:color w:val="auto"/>
          <w:szCs w:val="24"/>
        </w:rPr>
        <w:t>特殊物质</w:t>
      </w:r>
      <w:bookmarkEnd w:id="81"/>
      <w:r>
        <w:rPr>
          <w:rFonts w:hint="default" w:ascii="Times New Roman" w:hAnsi="Times New Roman" w:cs="Times New Roman"/>
          <w:color w:val="auto"/>
          <w:szCs w:val="24"/>
        </w:rPr>
        <w:t>过程排放产生的二氧化碳排放量，按式（5）计算：</w:t>
      </w:r>
    </w:p>
    <w:p w14:paraId="793D7360">
      <w:pPr>
        <w:pStyle w:val="39"/>
        <w:rPr>
          <w:rFonts w:hint="default" w:ascii="Times New Roman" w:hAnsi="Times New Roman" w:cs="Times New Roman"/>
          <w:color w:val="auto"/>
          <w:szCs w:val="24"/>
        </w:rPr>
      </w:pPr>
      <w:r>
        <w:rPr>
          <w:rFonts w:hint="default" w:ascii="Times New Roman" w:hAnsi="Times New Roman" w:cs="Times New Roman"/>
          <w:color w:val="auto"/>
          <w:szCs w:val="24"/>
        </w:rPr>
        <w:tab/>
      </w:r>
      <w:r>
        <w:rPr>
          <w:rFonts w:hint="default" w:ascii="Times New Roman" w:hAnsi="Times New Roman" w:cs="Times New Roman"/>
          <w:color w:val="auto"/>
          <w:position w:val="-28"/>
          <w:szCs w:val="24"/>
        </w:rPr>
        <w:object>
          <v:shape id="_x0000_i1029" o:spt="75" type="#_x0000_t75" style="height:36pt;width:84.55pt;" o:ole="t" filled="f" o:preferrelative="t" stroked="f" coordsize="21600,21600">
            <v:path/>
            <v:fill on="f" focussize="0,0"/>
            <v:stroke on="f"/>
            <v:imagedata r:id="rId21" o:title=""/>
            <o:lock v:ext="edit" aspectratio="t"/>
            <w10:wrap type="none"/>
            <w10:anchorlock/>
          </v:shape>
          <o:OLEObject Type="Embed" ProgID="Equation.DSMT4" ShapeID="_x0000_i1029" DrawAspect="Content" ObjectID="_1468075729" r:id="rId20">
            <o:LockedField>false</o:LockedField>
          </o:OLEObject>
        </w:object>
      </w:r>
      <w:r>
        <w:rPr>
          <w:rFonts w:hint="default" w:ascii="Times New Roman" w:hAnsi="Times New Roman" w:cs="Times New Roman"/>
          <w:color w:val="auto"/>
          <w:szCs w:val="24"/>
        </w:rPr>
        <w:tab/>
      </w:r>
      <w:r>
        <w:rPr>
          <w:rFonts w:hint="default" w:ascii="Times New Roman" w:hAnsi="Times New Roman" w:cs="Times New Roman"/>
          <w:color w:val="auto"/>
          <w:szCs w:val="24"/>
        </w:rPr>
        <w:fldChar w:fldCharType="begin"/>
      </w:r>
      <w:r>
        <w:rPr>
          <w:rFonts w:hint="default" w:ascii="Times New Roman" w:hAnsi="Times New Roman" w:cs="Times New Roman"/>
          <w:color w:val="auto"/>
          <w:szCs w:val="24"/>
        </w:rPr>
        <w:instrText xml:space="preserve"> MACROBUTTON MTPlaceRef \* MERGEFORMAT </w:instrText>
      </w:r>
      <w:r>
        <w:rPr>
          <w:rFonts w:hint="default" w:ascii="Times New Roman" w:hAnsi="Times New Roman" w:cs="Times New Roman"/>
          <w:color w:val="auto"/>
          <w:szCs w:val="24"/>
        </w:rPr>
        <w:fldChar w:fldCharType="begin"/>
      </w:r>
      <w:r>
        <w:rPr>
          <w:rFonts w:hint="default" w:ascii="Times New Roman" w:hAnsi="Times New Roman" w:cs="Times New Roman"/>
          <w:color w:val="auto"/>
          <w:szCs w:val="24"/>
        </w:rPr>
        <w:instrText xml:space="preserve"> SEQ MTEqn \h \* MERGEFORMAT </w:instrText>
      </w:r>
      <w:r>
        <w:rPr>
          <w:rFonts w:hint="default" w:ascii="Times New Roman" w:hAnsi="Times New Roman" w:cs="Times New Roman"/>
          <w:color w:val="auto"/>
          <w:szCs w:val="24"/>
        </w:rPr>
        <w:fldChar w:fldCharType="end"/>
      </w:r>
      <w:r>
        <w:rPr>
          <w:rFonts w:hint="default" w:ascii="Times New Roman" w:hAnsi="Times New Roman" w:cs="Times New Roman"/>
          <w:color w:val="auto"/>
          <w:szCs w:val="24"/>
        </w:rPr>
        <w:instrText xml:space="preserve">(</w:instrText>
      </w:r>
      <w:r>
        <w:rPr>
          <w:rFonts w:hint="default" w:ascii="Times New Roman" w:hAnsi="Times New Roman" w:cs="Times New Roman"/>
          <w:color w:val="auto"/>
          <w:szCs w:val="24"/>
        </w:rPr>
        <w:fldChar w:fldCharType="begin"/>
      </w:r>
      <w:r>
        <w:rPr>
          <w:rFonts w:hint="default" w:ascii="Times New Roman" w:hAnsi="Times New Roman" w:cs="Times New Roman"/>
          <w:color w:val="auto"/>
          <w:szCs w:val="24"/>
        </w:rPr>
        <w:instrText xml:space="preserve"> SEQ MTEqn \c \* Arabic \* MERGEFORMAT </w:instrText>
      </w:r>
      <w:r>
        <w:rPr>
          <w:rFonts w:hint="default" w:ascii="Times New Roman" w:hAnsi="Times New Roman" w:cs="Times New Roman"/>
          <w:color w:val="auto"/>
          <w:szCs w:val="24"/>
        </w:rPr>
        <w:fldChar w:fldCharType="separate"/>
      </w:r>
      <w:r>
        <w:rPr>
          <w:rFonts w:hint="default" w:ascii="Times New Roman" w:hAnsi="Times New Roman" w:cs="Times New Roman"/>
          <w:color w:val="auto"/>
          <w:szCs w:val="24"/>
        </w:rPr>
        <w:instrText xml:space="preserve">5</w:instrText>
      </w:r>
      <w:r>
        <w:rPr>
          <w:rFonts w:hint="default" w:ascii="Times New Roman" w:hAnsi="Times New Roman" w:cs="Times New Roman"/>
          <w:color w:val="auto"/>
          <w:szCs w:val="24"/>
        </w:rPr>
        <w:fldChar w:fldCharType="end"/>
      </w:r>
      <w:r>
        <w:rPr>
          <w:rFonts w:hint="default" w:ascii="Times New Roman" w:hAnsi="Times New Roman" w:cs="Times New Roman"/>
          <w:color w:val="auto"/>
          <w:szCs w:val="24"/>
        </w:rPr>
        <w:instrText xml:space="preserve">)</w:instrText>
      </w:r>
      <w:r>
        <w:rPr>
          <w:rFonts w:hint="default" w:ascii="Times New Roman" w:hAnsi="Times New Roman" w:cs="Times New Roman"/>
          <w:color w:val="auto"/>
          <w:szCs w:val="24"/>
        </w:rPr>
        <w:fldChar w:fldCharType="end"/>
      </w:r>
    </w:p>
    <w:p w14:paraId="458010AD">
      <w:pPr>
        <w:ind w:left="2040" w:leftChars="200" w:hanging="1560" w:hangingChars="650"/>
        <w:rPr>
          <w:rFonts w:hint="default" w:ascii="Times New Roman" w:hAnsi="Times New Roman" w:cs="Times New Roman"/>
          <w:iCs/>
          <w:color w:val="auto"/>
          <w:szCs w:val="24"/>
        </w:rPr>
      </w:pPr>
      <w:r>
        <w:rPr>
          <w:rFonts w:hint="default" w:ascii="Times New Roman" w:hAnsi="Times New Roman" w:cs="Times New Roman"/>
          <w:color w:val="auto"/>
          <w:szCs w:val="24"/>
        </w:rPr>
        <w:t>式中：</w:t>
      </w:r>
      <w:r>
        <w:rPr>
          <w:rFonts w:hint="default" w:ascii="Times New Roman" w:hAnsi="Times New Roman" w:cs="Times New Roman"/>
          <w:i/>
          <w:iCs/>
          <w:color w:val="auto"/>
          <w:szCs w:val="24"/>
        </w:rPr>
        <w:t>C</w:t>
      </w:r>
      <w:r>
        <w:rPr>
          <w:rFonts w:hint="default" w:ascii="Times New Roman" w:hAnsi="Times New Roman" w:cs="Times New Roman"/>
          <w:i/>
          <w:iCs/>
          <w:color w:val="auto"/>
          <w:szCs w:val="24"/>
          <w:vertAlign w:val="subscript"/>
        </w:rPr>
        <w:t>ts</w:t>
      </w:r>
      <w:r>
        <w:rPr>
          <w:rFonts w:hint="default" w:ascii="Times New Roman" w:hAnsi="Times New Roman" w:cs="Times New Roman"/>
          <w:color w:val="auto"/>
          <w:szCs w:val="24"/>
        </w:rPr>
        <w:t>——</w:t>
      </w:r>
      <w:r>
        <w:rPr>
          <w:rFonts w:hint="eastAsia" w:cs="Times New Roman"/>
          <w:color w:val="auto"/>
          <w:szCs w:val="24"/>
          <w:lang w:eastAsia="zh-CN"/>
        </w:rPr>
        <w:t>装配式建筑物化阶段</w:t>
      </w:r>
      <w:r>
        <w:rPr>
          <w:rFonts w:hint="default" w:ascii="Times New Roman" w:hAnsi="Times New Roman" w:cs="Times New Roman"/>
          <w:color w:val="auto"/>
          <w:szCs w:val="24"/>
        </w:rPr>
        <w:t>特殊物质过程排放产生的二氧化碳排放量，</w:t>
      </w:r>
      <w:r>
        <w:rPr>
          <w:rFonts w:hint="eastAsia" w:cs="Times New Roman"/>
          <w:color w:val="auto"/>
          <w:szCs w:val="24"/>
          <w:lang w:val="en-US" w:eastAsia="zh-CN"/>
        </w:rPr>
        <w:t>t</w:t>
      </w:r>
      <w:r>
        <w:rPr>
          <w:rFonts w:hint="default" w:ascii="Times New Roman" w:hAnsi="Times New Roman" w:cs="Times New Roman"/>
          <w:color w:val="auto"/>
          <w:szCs w:val="24"/>
        </w:rPr>
        <w:t>CO</w:t>
      </w:r>
      <w:r>
        <w:rPr>
          <w:rFonts w:hint="default" w:ascii="Times New Roman" w:hAnsi="Times New Roman" w:cs="Times New Roman"/>
          <w:color w:val="auto"/>
          <w:szCs w:val="24"/>
          <w:vertAlign w:val="subscript"/>
        </w:rPr>
        <w:t>2</w:t>
      </w:r>
      <w:r>
        <w:rPr>
          <w:rFonts w:hint="default" w:ascii="Times New Roman" w:hAnsi="Times New Roman" w:cs="Times New Roman"/>
          <w:color w:val="auto"/>
          <w:szCs w:val="24"/>
        </w:rPr>
        <w:t>；</w:t>
      </w:r>
    </w:p>
    <w:p w14:paraId="5D0C9EC7">
      <w:pPr>
        <w:ind w:left="2160" w:leftChars="500" w:hanging="960" w:hangingChars="400"/>
        <w:rPr>
          <w:rFonts w:hint="default" w:ascii="Times New Roman" w:hAnsi="Times New Roman" w:cs="Times New Roman"/>
          <w:color w:val="auto"/>
          <w:szCs w:val="24"/>
        </w:rPr>
      </w:pPr>
      <w:r>
        <w:rPr>
          <w:rFonts w:hint="default" w:ascii="Times New Roman" w:hAnsi="Times New Roman" w:cs="Times New Roman"/>
          <w:i/>
          <w:iCs/>
          <w:color w:val="auto"/>
          <w:szCs w:val="24"/>
        </w:rPr>
        <w:t>Θ</w:t>
      </w:r>
      <w:r>
        <w:rPr>
          <w:rFonts w:hint="default" w:ascii="Times New Roman" w:hAnsi="Times New Roman" w:cs="Times New Roman"/>
          <w:i/>
          <w:iCs/>
          <w:color w:val="auto"/>
          <w:szCs w:val="24"/>
          <w:vertAlign w:val="subscript"/>
        </w:rPr>
        <w:t>ts，k</w:t>
      </w:r>
      <w:r>
        <w:rPr>
          <w:rFonts w:hint="default" w:ascii="Times New Roman" w:hAnsi="Times New Roman" w:cs="Times New Roman"/>
          <w:color w:val="auto"/>
          <w:szCs w:val="24"/>
        </w:rPr>
        <w:t>——特殊物质中</w:t>
      </w:r>
      <w:r>
        <w:rPr>
          <w:rFonts w:hint="eastAsia" w:cs="Times New Roman"/>
          <w:color w:val="auto"/>
          <w:szCs w:val="24"/>
          <w:lang w:val="en-US" w:eastAsia="zh-CN"/>
        </w:rPr>
        <w:t>碳</w:t>
      </w:r>
      <w:r>
        <w:rPr>
          <w:rFonts w:hint="default" w:ascii="Times New Roman" w:hAnsi="Times New Roman" w:cs="Times New Roman"/>
          <w:color w:val="auto"/>
          <w:szCs w:val="24"/>
        </w:rPr>
        <w:t>元素分子质量占比，如为纯</w:t>
      </w:r>
      <w:r>
        <w:rPr>
          <w:rFonts w:hint="eastAsia" w:cs="Times New Roman"/>
          <w:color w:val="auto"/>
          <w:szCs w:val="24"/>
          <w:lang w:val="en-US" w:eastAsia="zh-CN"/>
        </w:rPr>
        <w:t>碳</w:t>
      </w:r>
      <w:r>
        <w:rPr>
          <w:rFonts w:hint="default" w:ascii="Times New Roman" w:hAnsi="Times New Roman" w:cs="Times New Roman"/>
          <w:color w:val="auto"/>
          <w:szCs w:val="24"/>
        </w:rPr>
        <w:t>产品，</w:t>
      </w:r>
      <w:r>
        <w:rPr>
          <w:rFonts w:hint="default" w:ascii="Times New Roman" w:hAnsi="Times New Roman" w:cs="Times New Roman"/>
          <w:i/>
          <w:iCs/>
          <w:color w:val="auto"/>
          <w:szCs w:val="24"/>
        </w:rPr>
        <w:t>Θ</w:t>
      </w:r>
      <w:r>
        <w:rPr>
          <w:rFonts w:hint="default" w:ascii="Times New Roman" w:hAnsi="Times New Roman" w:cs="Times New Roman"/>
          <w:i/>
          <w:iCs/>
          <w:color w:val="auto"/>
          <w:szCs w:val="24"/>
          <w:vertAlign w:val="subscript"/>
        </w:rPr>
        <w:t>ts，k</w:t>
      </w:r>
      <w:r>
        <w:rPr>
          <w:rFonts w:hint="default" w:ascii="Times New Roman" w:hAnsi="Times New Roman" w:cs="Times New Roman"/>
          <w:color w:val="auto"/>
          <w:szCs w:val="24"/>
        </w:rPr>
        <w:t>取值为1，若为混合体系，则</w:t>
      </w:r>
      <w:r>
        <w:rPr>
          <w:rFonts w:hint="default" w:ascii="Times New Roman" w:hAnsi="Times New Roman" w:cs="Times New Roman"/>
          <w:i/>
          <w:iCs/>
          <w:color w:val="auto"/>
          <w:szCs w:val="24"/>
        </w:rPr>
        <w:t>Θ</w:t>
      </w:r>
      <w:r>
        <w:rPr>
          <w:rFonts w:hint="default" w:ascii="Times New Roman" w:hAnsi="Times New Roman" w:cs="Times New Roman"/>
          <w:i/>
          <w:iCs/>
          <w:color w:val="auto"/>
          <w:szCs w:val="24"/>
          <w:vertAlign w:val="subscript"/>
        </w:rPr>
        <w:t>ts，k</w:t>
      </w:r>
      <w:r>
        <w:rPr>
          <w:rFonts w:hint="default" w:ascii="Times New Roman" w:hAnsi="Times New Roman" w:cs="Times New Roman"/>
          <w:color w:val="auto"/>
          <w:szCs w:val="24"/>
        </w:rPr>
        <w:t>为混合体系中</w:t>
      </w:r>
      <w:r>
        <w:rPr>
          <w:rFonts w:hint="default" w:ascii="Times New Roman" w:hAnsi="Times New Roman" w:cs="Times New Roman"/>
          <w:i/>
          <w:iCs/>
          <w:color w:val="auto"/>
          <w:szCs w:val="24"/>
        </w:rPr>
        <w:t>C</w:t>
      </w:r>
      <w:r>
        <w:rPr>
          <w:rFonts w:hint="default" w:ascii="Times New Roman" w:hAnsi="Times New Roman" w:cs="Times New Roman"/>
          <w:color w:val="auto"/>
          <w:szCs w:val="24"/>
        </w:rPr>
        <w:t xml:space="preserve">元素分子质量占比； </w:t>
      </w:r>
    </w:p>
    <w:p w14:paraId="483421A4">
      <w:pPr>
        <w:ind w:firstLine="1200" w:firstLineChars="500"/>
        <w:rPr>
          <w:rFonts w:hint="default" w:ascii="Times New Roman" w:hAnsi="Times New Roman" w:cs="Times New Roman"/>
          <w:color w:val="auto"/>
        </w:rPr>
      </w:pPr>
      <w:r>
        <w:rPr>
          <w:rFonts w:hint="default" w:ascii="Times New Roman" w:hAnsi="Times New Roman" w:cs="Times New Roman"/>
          <w:i/>
          <w:iCs/>
          <w:color w:val="auto"/>
        </w:rPr>
        <w:t>Q</w:t>
      </w:r>
      <w:r>
        <w:rPr>
          <w:rFonts w:hint="default" w:ascii="Times New Roman" w:hAnsi="Times New Roman" w:cs="Times New Roman"/>
          <w:i/>
          <w:iCs/>
          <w:color w:val="auto"/>
          <w:vertAlign w:val="subscript"/>
        </w:rPr>
        <w:t>ts, k</w:t>
      </w:r>
      <w:r>
        <w:rPr>
          <w:rFonts w:hint="default" w:ascii="Times New Roman" w:hAnsi="Times New Roman" w:cs="Times New Roman"/>
          <w:color w:val="auto"/>
        </w:rPr>
        <w:t>——第</w:t>
      </w:r>
      <w:r>
        <w:rPr>
          <w:rFonts w:hint="default" w:ascii="Times New Roman" w:hAnsi="Times New Roman" w:cs="Times New Roman"/>
          <w:i/>
          <w:iCs/>
          <w:color w:val="auto"/>
        </w:rPr>
        <w:t>k</w:t>
      </w:r>
      <w:r>
        <w:rPr>
          <w:rFonts w:hint="default" w:ascii="Times New Roman" w:hAnsi="Times New Roman" w:cs="Times New Roman"/>
          <w:color w:val="auto"/>
        </w:rPr>
        <w:t>种编码对应特殊物质的消耗量，</w:t>
      </w:r>
      <w:r>
        <w:rPr>
          <w:rFonts w:hint="eastAsia" w:cs="Times New Roman"/>
          <w:color w:val="auto"/>
          <w:lang w:val="en-US" w:eastAsia="zh-CN"/>
        </w:rPr>
        <w:t>t</w:t>
      </w:r>
      <w:r>
        <w:rPr>
          <w:rFonts w:hint="default" w:ascii="Times New Roman" w:hAnsi="Times New Roman" w:cs="Times New Roman"/>
          <w:color w:val="auto"/>
        </w:rPr>
        <w:t>CO</w:t>
      </w:r>
      <w:r>
        <w:rPr>
          <w:rFonts w:hint="default" w:ascii="Times New Roman" w:hAnsi="Times New Roman" w:cs="Times New Roman"/>
          <w:color w:val="auto"/>
          <w:vertAlign w:val="subscript"/>
        </w:rPr>
        <w:t>2</w:t>
      </w:r>
      <w:r>
        <w:rPr>
          <w:rFonts w:hint="default" w:ascii="Times New Roman" w:hAnsi="Times New Roman" w:cs="Times New Roman"/>
          <w:color w:val="auto"/>
        </w:rPr>
        <w:t>；</w:t>
      </w:r>
    </w:p>
    <w:p w14:paraId="546782EF">
      <w:pPr>
        <w:rPr>
          <w:rFonts w:hint="default" w:ascii="Times New Roman" w:hAnsi="Times New Roman" w:cs="Times New Roman"/>
          <w:color w:val="auto"/>
        </w:rPr>
      </w:pPr>
      <w:bookmarkStart w:id="82" w:name="_Toc188229745"/>
      <w:bookmarkStart w:id="83" w:name="_Toc188229714"/>
      <w:r>
        <w:rPr>
          <w:rFonts w:hint="default" w:ascii="Times New Roman" w:hAnsi="Times New Roman" w:cs="Times New Roman"/>
          <w:color w:val="auto"/>
        </w:rPr>
        <w:t>6.2.5 净购入电力、</w:t>
      </w:r>
      <w:r>
        <w:rPr>
          <w:rFonts w:hint="eastAsia" w:cs="Times New Roman"/>
          <w:color w:val="auto"/>
          <w:lang w:eastAsia="zh-CN"/>
        </w:rPr>
        <w:t>热</w:t>
      </w:r>
      <w:r>
        <w:rPr>
          <w:rFonts w:hint="default" w:ascii="Times New Roman" w:hAnsi="Times New Roman" w:cs="Times New Roman"/>
          <w:color w:val="auto"/>
        </w:rPr>
        <w:t>力</w:t>
      </w:r>
      <w:bookmarkEnd w:id="82"/>
      <w:bookmarkEnd w:id="83"/>
      <w:r>
        <w:rPr>
          <w:rFonts w:ascii="宋体" w:hAnsi="宋体" w:eastAsia="宋体" w:cs="宋体"/>
          <w:sz w:val="24"/>
          <w:szCs w:val="24"/>
        </w:rPr>
        <w:t>产生的排放</w:t>
      </w:r>
    </w:p>
    <w:p w14:paraId="2217003D">
      <w:pPr>
        <w:ind w:firstLine="480" w:firstLineChars="200"/>
        <w:rPr>
          <w:rFonts w:hint="default" w:ascii="Times New Roman" w:hAnsi="Times New Roman" w:cs="Times New Roman"/>
          <w:color w:val="auto"/>
          <w:szCs w:val="24"/>
        </w:rPr>
      </w:pPr>
      <w:r>
        <w:rPr>
          <w:rFonts w:hint="eastAsia" w:cs="Times New Roman"/>
          <w:color w:val="auto"/>
          <w:szCs w:val="24"/>
          <w:lang w:val="en-US" w:eastAsia="zh-CN"/>
        </w:rPr>
        <w:t>1</w:t>
      </w:r>
      <w:r>
        <w:rPr>
          <w:rFonts w:hint="eastAsia" w:cs="Times New Roman"/>
          <w:color w:val="auto"/>
          <w:szCs w:val="24"/>
          <w:lang w:eastAsia="zh-CN"/>
        </w:rPr>
        <w:t>）</w:t>
      </w:r>
      <w:r>
        <w:rPr>
          <w:rFonts w:hint="eastAsia" w:cs="Times New Roman"/>
          <w:color w:val="auto"/>
          <w:szCs w:val="24"/>
          <w:lang w:val="en-US" w:eastAsia="zh-CN"/>
        </w:rPr>
        <w:t>构件工厂净购入的电力在生产过程中产生的碳排放</w:t>
      </w:r>
      <w:r>
        <w:rPr>
          <w:rFonts w:hint="default" w:ascii="Times New Roman" w:hAnsi="Times New Roman" w:cs="Times New Roman"/>
          <w:color w:val="auto"/>
          <w:szCs w:val="24"/>
        </w:rPr>
        <w:t>按式（6）计算：</w:t>
      </w:r>
    </w:p>
    <w:p w14:paraId="6770EFD6">
      <w:pPr>
        <w:pStyle w:val="39"/>
        <w:rPr>
          <w:rFonts w:hint="default" w:ascii="Times New Roman" w:hAnsi="Times New Roman" w:cs="Times New Roman"/>
          <w:color w:val="auto"/>
          <w:szCs w:val="24"/>
        </w:rPr>
      </w:pPr>
      <w:r>
        <w:rPr>
          <w:rFonts w:hint="default" w:ascii="Times New Roman" w:hAnsi="Times New Roman" w:cs="Times New Roman"/>
          <w:color w:val="auto"/>
          <w:szCs w:val="24"/>
        </w:rPr>
        <w:tab/>
      </w:r>
      <w:r>
        <w:rPr>
          <w:rFonts w:hint="default" w:ascii="Times New Roman" w:hAnsi="Times New Roman" w:cs="Times New Roman"/>
          <w:color w:val="auto"/>
          <w:position w:val="-12"/>
          <w:szCs w:val="24"/>
        </w:rPr>
        <w:object>
          <v:shape id="_x0000_i1030" o:spt="75" type="#_x0000_t75" style="height:19.1pt;width:76.35pt;" o:ole="t" filled="f" o:preferrelative="t" stroked="f" coordsize="21600,21600">
            <v:path/>
            <v:fill on="f" focussize="0,0"/>
            <v:stroke on="f"/>
            <v:imagedata r:id="rId23" o:title=""/>
            <o:lock v:ext="edit" aspectratio="t"/>
            <w10:wrap type="none"/>
            <w10:anchorlock/>
          </v:shape>
          <o:OLEObject Type="Embed" ProgID="Equation.DSMT4" ShapeID="_x0000_i1030" DrawAspect="Content" ObjectID="_1468075730" r:id="rId22">
            <o:LockedField>false</o:LockedField>
          </o:OLEObject>
        </w:object>
      </w:r>
      <w:r>
        <w:rPr>
          <w:rFonts w:hint="default" w:ascii="Times New Roman" w:hAnsi="Times New Roman" w:cs="Times New Roman"/>
          <w:color w:val="auto"/>
          <w:szCs w:val="24"/>
        </w:rPr>
        <w:tab/>
      </w:r>
      <w:r>
        <w:rPr>
          <w:rFonts w:hint="default" w:ascii="Times New Roman" w:hAnsi="Times New Roman" w:cs="Times New Roman"/>
          <w:color w:val="auto"/>
          <w:szCs w:val="24"/>
        </w:rPr>
        <w:fldChar w:fldCharType="begin"/>
      </w:r>
      <w:r>
        <w:rPr>
          <w:rFonts w:hint="default" w:ascii="Times New Roman" w:hAnsi="Times New Roman" w:cs="Times New Roman"/>
          <w:color w:val="auto"/>
          <w:szCs w:val="24"/>
        </w:rPr>
        <w:instrText xml:space="preserve"> MACROBUTTON MTPlaceRef \* MERGEFORMAT </w:instrText>
      </w:r>
      <w:r>
        <w:rPr>
          <w:rFonts w:hint="default" w:ascii="Times New Roman" w:hAnsi="Times New Roman" w:cs="Times New Roman"/>
          <w:color w:val="auto"/>
          <w:szCs w:val="24"/>
        </w:rPr>
        <w:fldChar w:fldCharType="begin"/>
      </w:r>
      <w:r>
        <w:rPr>
          <w:rFonts w:hint="default" w:ascii="Times New Roman" w:hAnsi="Times New Roman" w:cs="Times New Roman"/>
          <w:color w:val="auto"/>
          <w:szCs w:val="24"/>
        </w:rPr>
        <w:instrText xml:space="preserve"> SEQ MTEqn \h \* MERGEFORMAT </w:instrText>
      </w:r>
      <w:r>
        <w:rPr>
          <w:rFonts w:hint="default" w:ascii="Times New Roman" w:hAnsi="Times New Roman" w:cs="Times New Roman"/>
          <w:color w:val="auto"/>
          <w:szCs w:val="24"/>
        </w:rPr>
        <w:fldChar w:fldCharType="end"/>
      </w:r>
      <w:r>
        <w:rPr>
          <w:rFonts w:hint="default" w:ascii="Times New Roman" w:hAnsi="Times New Roman" w:cs="Times New Roman"/>
          <w:color w:val="auto"/>
          <w:szCs w:val="24"/>
        </w:rPr>
        <w:instrText xml:space="preserve">(</w:instrText>
      </w:r>
      <w:r>
        <w:rPr>
          <w:rFonts w:hint="default" w:ascii="Times New Roman" w:hAnsi="Times New Roman" w:cs="Times New Roman"/>
          <w:color w:val="auto"/>
          <w:szCs w:val="24"/>
        </w:rPr>
        <w:fldChar w:fldCharType="begin"/>
      </w:r>
      <w:r>
        <w:rPr>
          <w:rFonts w:hint="default" w:ascii="Times New Roman" w:hAnsi="Times New Roman" w:cs="Times New Roman"/>
          <w:color w:val="auto"/>
          <w:szCs w:val="24"/>
        </w:rPr>
        <w:instrText xml:space="preserve"> SEQ MTEqn \c \* Arabic \* MERGEFORMAT </w:instrText>
      </w:r>
      <w:r>
        <w:rPr>
          <w:rFonts w:hint="default" w:ascii="Times New Roman" w:hAnsi="Times New Roman" w:cs="Times New Roman"/>
          <w:color w:val="auto"/>
          <w:szCs w:val="24"/>
        </w:rPr>
        <w:fldChar w:fldCharType="separate"/>
      </w:r>
      <w:r>
        <w:rPr>
          <w:rFonts w:hint="default" w:ascii="Times New Roman" w:hAnsi="Times New Roman" w:cs="Times New Roman"/>
          <w:color w:val="auto"/>
          <w:szCs w:val="24"/>
        </w:rPr>
        <w:instrText xml:space="preserve">6</w:instrText>
      </w:r>
      <w:r>
        <w:rPr>
          <w:rFonts w:hint="default" w:ascii="Times New Roman" w:hAnsi="Times New Roman" w:cs="Times New Roman"/>
          <w:color w:val="auto"/>
          <w:szCs w:val="24"/>
        </w:rPr>
        <w:fldChar w:fldCharType="end"/>
      </w:r>
      <w:r>
        <w:rPr>
          <w:rFonts w:hint="default" w:ascii="Times New Roman" w:hAnsi="Times New Roman" w:cs="Times New Roman"/>
          <w:color w:val="auto"/>
          <w:szCs w:val="24"/>
        </w:rPr>
        <w:instrText xml:space="preserve">)</w:instrText>
      </w:r>
      <w:r>
        <w:rPr>
          <w:rFonts w:hint="default" w:ascii="Times New Roman" w:hAnsi="Times New Roman" w:cs="Times New Roman"/>
          <w:color w:val="auto"/>
          <w:szCs w:val="24"/>
        </w:rPr>
        <w:fldChar w:fldCharType="end"/>
      </w:r>
    </w:p>
    <w:p w14:paraId="72ADD01D">
      <w:pPr>
        <w:adjustRightInd w:val="0"/>
        <w:snapToGrid w:val="0"/>
        <w:ind w:left="2429" w:leftChars="262" w:hanging="1800" w:hangingChars="750"/>
        <w:rPr>
          <w:rFonts w:hint="default" w:ascii="Times New Roman" w:hAnsi="Times New Roman" w:cs="Times New Roman"/>
          <w:iCs/>
          <w:color w:val="auto"/>
          <w:szCs w:val="24"/>
        </w:rPr>
      </w:pPr>
      <w:bookmarkStart w:id="84" w:name="_Hlk155707336"/>
      <w:bookmarkEnd w:id="84"/>
      <w:r>
        <w:rPr>
          <w:rFonts w:hint="default" w:ascii="Times New Roman" w:hAnsi="Times New Roman" w:cs="Times New Roman"/>
          <w:color w:val="auto"/>
          <w:szCs w:val="24"/>
        </w:rPr>
        <w:t>式中：</w:t>
      </w:r>
      <w:bookmarkStart w:id="85" w:name="_Hlk155707628"/>
      <w:bookmarkEnd w:id="85"/>
      <w:r>
        <w:rPr>
          <w:rFonts w:hint="default" w:ascii="Times New Roman" w:hAnsi="Times New Roman" w:cs="Times New Roman"/>
          <w:i/>
          <w:iCs/>
          <w:color w:val="auto"/>
          <w:szCs w:val="24"/>
        </w:rPr>
        <w:t>C</w:t>
      </w:r>
      <w:r>
        <w:rPr>
          <w:rFonts w:hint="default" w:ascii="Times New Roman" w:hAnsi="Times New Roman" w:cs="Times New Roman"/>
          <w:i/>
          <w:iCs/>
          <w:color w:val="auto"/>
          <w:szCs w:val="24"/>
          <w:vertAlign w:val="subscript"/>
        </w:rPr>
        <w:t>d</w:t>
      </w:r>
      <w:r>
        <w:rPr>
          <w:rFonts w:hint="eastAsia" w:cs="Times New Roman"/>
          <w:i/>
          <w:iCs/>
          <w:color w:val="auto"/>
          <w:szCs w:val="24"/>
          <w:vertAlign w:val="subscript"/>
          <w:lang w:val="en-US" w:eastAsia="zh-CN"/>
        </w:rPr>
        <w:t>l</w:t>
      </w:r>
      <w:r>
        <w:rPr>
          <w:rFonts w:hint="default" w:ascii="Times New Roman" w:hAnsi="Times New Roman" w:cs="Times New Roman"/>
          <w:color w:val="auto"/>
        </w:rPr>
        <w:t>——</w:t>
      </w:r>
      <w:r>
        <w:rPr>
          <w:rFonts w:hint="default" w:ascii="Times New Roman" w:hAnsi="Times New Roman" w:cs="Times New Roman"/>
          <w:iCs/>
          <w:color w:val="auto"/>
          <w:szCs w:val="24"/>
        </w:rPr>
        <w:t>净购入电力产生的排放</w:t>
      </w:r>
      <w:r>
        <w:rPr>
          <w:rFonts w:hint="eastAsia" w:cs="Times New Roman"/>
          <w:iCs/>
          <w:color w:val="auto"/>
          <w:szCs w:val="24"/>
          <w:lang w:val="en-US" w:eastAsia="zh-CN"/>
        </w:rPr>
        <w:t>量</w:t>
      </w:r>
      <w:r>
        <w:rPr>
          <w:rFonts w:hint="default" w:ascii="Times New Roman" w:hAnsi="Times New Roman" w:cs="Times New Roman"/>
          <w:color w:val="auto"/>
          <w:szCs w:val="24"/>
        </w:rPr>
        <w:t>，</w:t>
      </w:r>
      <w:r>
        <w:rPr>
          <w:rFonts w:hint="eastAsia" w:cs="Times New Roman"/>
          <w:color w:val="auto"/>
          <w:szCs w:val="24"/>
          <w:lang w:val="en-US" w:eastAsia="zh-CN"/>
        </w:rPr>
        <w:t>t</w:t>
      </w:r>
      <w:r>
        <w:rPr>
          <w:rFonts w:hint="default" w:ascii="Times New Roman" w:hAnsi="Times New Roman" w:cs="Times New Roman"/>
          <w:color w:val="auto"/>
          <w:szCs w:val="24"/>
        </w:rPr>
        <w:t>CO</w:t>
      </w:r>
      <w:r>
        <w:rPr>
          <w:rFonts w:hint="default" w:ascii="Times New Roman" w:hAnsi="Times New Roman" w:cs="Times New Roman"/>
          <w:color w:val="auto"/>
          <w:szCs w:val="24"/>
          <w:vertAlign w:val="subscript"/>
        </w:rPr>
        <w:t>2</w:t>
      </w:r>
      <w:r>
        <w:rPr>
          <w:rFonts w:hint="default" w:ascii="Times New Roman" w:hAnsi="Times New Roman" w:cs="Times New Roman"/>
          <w:color w:val="auto"/>
          <w:szCs w:val="24"/>
        </w:rPr>
        <w:t>；</w:t>
      </w:r>
    </w:p>
    <w:p w14:paraId="1115CD8B">
      <w:pPr>
        <w:adjustRightInd w:val="0"/>
        <w:snapToGrid w:val="0"/>
        <w:ind w:left="2429" w:leftChars="512" w:hanging="1200" w:hangingChars="500"/>
        <w:rPr>
          <w:rFonts w:hint="default" w:ascii="Times New Roman" w:hAnsi="Times New Roman" w:cs="Times New Roman"/>
          <w:color w:val="auto"/>
          <w:szCs w:val="24"/>
        </w:rPr>
      </w:pPr>
      <w:r>
        <w:rPr>
          <w:rFonts w:hint="eastAsia" w:cs="Times New Roman"/>
          <w:i/>
          <w:iCs/>
          <w:color w:val="auto"/>
          <w:szCs w:val="24"/>
          <w:vertAlign w:val="baseline"/>
          <w:lang w:val="en-US" w:eastAsia="zh-CN"/>
        </w:rPr>
        <w:t>E</w:t>
      </w:r>
      <w:r>
        <w:rPr>
          <w:rFonts w:hint="default" w:ascii="Times New Roman" w:hAnsi="Times New Roman" w:cs="Times New Roman"/>
          <w:i/>
          <w:iCs/>
          <w:color w:val="auto"/>
          <w:szCs w:val="24"/>
          <w:vertAlign w:val="subscript"/>
        </w:rPr>
        <w:t>dl</w:t>
      </w:r>
      <w:r>
        <w:rPr>
          <w:rFonts w:hint="default" w:ascii="Times New Roman" w:hAnsi="Times New Roman" w:cs="Times New Roman"/>
          <w:color w:val="auto"/>
        </w:rPr>
        <w:t>——</w:t>
      </w:r>
      <w:r>
        <w:rPr>
          <w:rFonts w:hint="default" w:ascii="Times New Roman" w:hAnsi="Times New Roman" w:cs="Times New Roman"/>
          <w:color w:val="auto"/>
          <w:szCs w:val="24"/>
        </w:rPr>
        <w:t>消耗的第</w:t>
      </w:r>
      <w:r>
        <w:rPr>
          <w:rFonts w:hint="default" w:ascii="Times New Roman" w:hAnsi="Times New Roman" w:cs="Times New Roman"/>
          <w:i/>
          <w:iCs/>
          <w:color w:val="auto"/>
          <w:szCs w:val="24"/>
        </w:rPr>
        <w:t>k</w:t>
      </w:r>
      <w:r>
        <w:rPr>
          <w:rFonts w:hint="default" w:ascii="Times New Roman" w:hAnsi="Times New Roman" w:cs="Times New Roman"/>
          <w:color w:val="auto"/>
          <w:szCs w:val="24"/>
        </w:rPr>
        <w:t>种编码对应电力和</w:t>
      </w:r>
      <w:r>
        <w:rPr>
          <w:rFonts w:hint="eastAsia" w:cs="Times New Roman"/>
          <w:color w:val="auto"/>
          <w:szCs w:val="24"/>
          <w:lang w:eastAsia="zh-CN"/>
        </w:rPr>
        <w:t>热</w:t>
      </w:r>
      <w:r>
        <w:rPr>
          <w:rFonts w:hint="default" w:ascii="Times New Roman" w:hAnsi="Times New Roman" w:cs="Times New Roman"/>
          <w:color w:val="auto"/>
          <w:szCs w:val="24"/>
        </w:rPr>
        <w:t>力的活动数据，kW</w:t>
      </w:r>
      <w:r>
        <w:rPr>
          <w:rFonts w:hint="eastAsia" w:cs="Times New Roman"/>
          <w:color w:val="auto"/>
          <w:szCs w:val="24"/>
          <w:lang w:val="en-US" w:eastAsia="zh-CN"/>
        </w:rPr>
        <w:t>·</w:t>
      </w:r>
      <w:r>
        <w:rPr>
          <w:rFonts w:hint="default" w:ascii="Times New Roman" w:hAnsi="Times New Roman" w:cs="Times New Roman"/>
          <w:color w:val="auto"/>
          <w:szCs w:val="24"/>
        </w:rPr>
        <w:t>h；</w:t>
      </w:r>
    </w:p>
    <w:p w14:paraId="0C7AFB48">
      <w:pPr>
        <w:adjustRightInd w:val="0"/>
        <w:snapToGrid w:val="0"/>
        <w:ind w:left="2069" w:leftChars="512" w:hanging="840" w:hangingChars="350"/>
        <w:rPr>
          <w:rFonts w:hint="default" w:ascii="Times New Roman" w:hAnsi="Times New Roman" w:cs="Times New Roman"/>
          <w:color w:val="auto"/>
          <w:szCs w:val="24"/>
        </w:rPr>
      </w:pPr>
      <w:r>
        <w:rPr>
          <w:rFonts w:hint="default" w:ascii="Times New Roman" w:hAnsi="Times New Roman" w:cs="Times New Roman"/>
          <w:i/>
          <w:iCs/>
          <w:color w:val="auto"/>
          <w:szCs w:val="24"/>
        </w:rPr>
        <w:t>E</w:t>
      </w:r>
      <w:r>
        <w:rPr>
          <w:rFonts w:hint="eastAsia" w:cs="Times New Roman"/>
          <w:i/>
          <w:iCs/>
          <w:color w:val="auto"/>
          <w:szCs w:val="24"/>
          <w:lang w:val="en-US" w:eastAsia="zh-CN"/>
        </w:rPr>
        <w:t>F</w:t>
      </w:r>
      <w:r>
        <w:rPr>
          <w:rFonts w:hint="eastAsia" w:cs="Times New Roman"/>
          <w:i/>
          <w:iCs/>
          <w:color w:val="auto"/>
          <w:szCs w:val="24"/>
          <w:vertAlign w:val="subscript"/>
          <w:lang w:val="en-US" w:eastAsia="zh-CN"/>
        </w:rPr>
        <w:t>dl</w:t>
      </w:r>
      <w:r>
        <w:rPr>
          <w:rFonts w:hint="default" w:ascii="Times New Roman" w:hAnsi="Times New Roman" w:cs="Times New Roman"/>
          <w:color w:val="auto"/>
        </w:rPr>
        <w:t>——</w:t>
      </w:r>
      <w:r>
        <w:rPr>
          <w:rFonts w:hint="eastAsia" w:cs="Times New Roman"/>
          <w:color w:val="auto"/>
          <w:szCs w:val="24"/>
          <w:lang w:val="en-US" w:eastAsia="zh-CN"/>
        </w:rPr>
        <w:t>净购入</w:t>
      </w:r>
      <w:r>
        <w:rPr>
          <w:rFonts w:hint="default" w:ascii="Times New Roman" w:hAnsi="Times New Roman" w:cs="Times New Roman"/>
          <w:color w:val="auto"/>
          <w:szCs w:val="24"/>
        </w:rPr>
        <w:t>电力</w:t>
      </w:r>
      <w:r>
        <w:rPr>
          <w:rFonts w:hint="eastAsia" w:cs="Times New Roman"/>
          <w:color w:val="auto"/>
          <w:szCs w:val="24"/>
          <w:lang w:eastAsia="zh-CN"/>
        </w:rPr>
        <w:t>排放因子</w:t>
      </w:r>
      <w:r>
        <w:rPr>
          <w:rFonts w:hint="default" w:ascii="Times New Roman" w:hAnsi="Times New Roman" w:cs="Times New Roman"/>
          <w:color w:val="auto"/>
          <w:szCs w:val="24"/>
        </w:rPr>
        <w:t>，</w:t>
      </w:r>
      <w:r>
        <w:rPr>
          <w:rFonts w:hint="eastAsia" w:cs="Times New Roman"/>
          <w:color w:val="auto"/>
          <w:szCs w:val="24"/>
          <w:lang w:val="en-US" w:eastAsia="zh-CN"/>
        </w:rPr>
        <w:t>kg</w:t>
      </w:r>
      <w:r>
        <w:rPr>
          <w:rFonts w:hint="default" w:ascii="Times New Roman" w:hAnsi="Times New Roman" w:cs="Times New Roman"/>
          <w:color w:val="auto"/>
          <w:szCs w:val="24"/>
        </w:rPr>
        <w:t>CO</w:t>
      </w:r>
      <w:r>
        <w:rPr>
          <w:rFonts w:hint="default" w:ascii="Times New Roman" w:hAnsi="Times New Roman" w:cs="Times New Roman"/>
          <w:color w:val="auto"/>
          <w:szCs w:val="24"/>
          <w:vertAlign w:val="subscript"/>
        </w:rPr>
        <w:t>2</w:t>
      </w:r>
      <w:r>
        <w:rPr>
          <w:rFonts w:hint="default" w:ascii="Times New Roman" w:hAnsi="Times New Roman" w:cs="Times New Roman"/>
          <w:color w:val="auto"/>
          <w:szCs w:val="24"/>
        </w:rPr>
        <w:t xml:space="preserve"> kWh；</w:t>
      </w:r>
    </w:p>
    <w:p w14:paraId="4BFFB5B0">
      <w:pPr>
        <w:pStyle w:val="4"/>
        <w:rPr>
          <w:rFonts w:hint="default" w:ascii="Times New Roman" w:hAnsi="Times New Roman" w:cs="Times New Roman"/>
          <w:color w:val="auto"/>
          <w:szCs w:val="24"/>
        </w:rPr>
      </w:pPr>
      <w:bookmarkStart w:id="86" w:name="_Toc28537"/>
      <w:bookmarkStart w:id="87" w:name="_Toc14369"/>
      <w:bookmarkStart w:id="88" w:name="_Toc10815"/>
      <w:bookmarkStart w:id="89" w:name="_Toc2125"/>
      <w:r>
        <w:rPr>
          <w:rFonts w:hint="default" w:ascii="Times New Roman" w:hAnsi="Times New Roman" w:cs="Times New Roman"/>
          <w:color w:val="auto"/>
          <w:szCs w:val="24"/>
        </w:rPr>
        <w:t>6.3 碳标识的获取</w:t>
      </w:r>
      <w:bookmarkEnd w:id="86"/>
      <w:bookmarkEnd w:id="87"/>
      <w:bookmarkEnd w:id="88"/>
      <w:bookmarkEnd w:id="89"/>
    </w:p>
    <w:p w14:paraId="43FF2E8F">
      <w:pPr>
        <w:pStyle w:val="39"/>
        <w:rPr>
          <w:rFonts w:hint="default" w:ascii="Times New Roman" w:hAnsi="Times New Roman" w:cs="Times New Roman"/>
          <w:color w:val="auto"/>
        </w:rPr>
      </w:pPr>
      <w:r>
        <w:rPr>
          <w:rFonts w:hint="default" w:ascii="Times New Roman" w:hAnsi="Times New Roman" w:cs="Times New Roman"/>
          <w:color w:val="auto"/>
        </w:rPr>
        <w:tab/>
      </w:r>
      <w:r>
        <w:rPr>
          <w:rFonts w:hint="default" w:ascii="Times New Roman" w:hAnsi="Times New Roman" w:cs="Times New Roman"/>
          <w:color w:val="auto"/>
          <w:position w:val="-14"/>
        </w:rPr>
        <w:object>
          <v:shape id="_x0000_i1031" o:spt="75" type="#_x0000_t75" style="height:19pt;width:62pt;" o:ole="t" filled="f" o:preferrelative="t" stroked="f" coordsize="21600,21600">
            <v:path/>
            <v:fill on="f" focussize="0,0"/>
            <v:stroke on="f"/>
            <v:imagedata r:id="rId25" o:title=""/>
            <o:lock v:ext="edit" aspectratio="t"/>
            <w10:wrap type="none"/>
            <w10:anchorlock/>
          </v:shape>
          <o:OLEObject Type="Embed" ProgID="Equation.DSMT4" ShapeID="_x0000_i1031" DrawAspect="Content" ObjectID="_1468075731" r:id="rId24">
            <o:LockedField>false</o:LockedField>
          </o:OLEObject>
        </w:object>
      </w:r>
      <w:r>
        <w:rPr>
          <w:rFonts w:hint="default" w:ascii="Times New Roman" w:hAnsi="Times New Roman" w:cs="Times New Roman"/>
          <w:color w:val="auto"/>
        </w:rPr>
        <w:tab/>
      </w:r>
      <w:r>
        <w:rPr>
          <w:rFonts w:hint="default" w:ascii="Times New Roman" w:hAnsi="Times New Roman" w:cs="Times New Roman"/>
          <w:color w:val="auto"/>
        </w:rPr>
        <w:fldChar w:fldCharType="begin"/>
      </w:r>
      <w:r>
        <w:rPr>
          <w:rFonts w:hint="default" w:ascii="Times New Roman" w:hAnsi="Times New Roman" w:cs="Times New Roman"/>
          <w:color w:val="auto"/>
        </w:rPr>
        <w:instrText xml:space="preserve"> MACROBUTTON MTPlaceRef \* MERGEFORMAT </w:instrText>
      </w:r>
      <w:r>
        <w:rPr>
          <w:rFonts w:hint="default" w:ascii="Times New Roman" w:hAnsi="Times New Roman" w:cs="Times New Roman"/>
          <w:color w:val="auto"/>
        </w:rPr>
        <w:fldChar w:fldCharType="begin"/>
      </w:r>
      <w:r>
        <w:rPr>
          <w:rFonts w:hint="default" w:ascii="Times New Roman" w:hAnsi="Times New Roman" w:cs="Times New Roman"/>
          <w:color w:val="auto"/>
        </w:rPr>
        <w:instrText xml:space="preserve"> SEQ MTEqn \h \* MERGEFORMAT </w:instrText>
      </w:r>
      <w:r>
        <w:rPr>
          <w:rFonts w:hint="default" w:ascii="Times New Roman" w:hAnsi="Times New Roman" w:cs="Times New Roman"/>
          <w:color w:val="auto"/>
        </w:rPr>
        <w:fldChar w:fldCharType="end"/>
      </w:r>
      <w:r>
        <w:rPr>
          <w:rFonts w:hint="default" w:ascii="Times New Roman" w:hAnsi="Times New Roman" w:cs="Times New Roman"/>
          <w:color w:val="auto"/>
        </w:rPr>
        <w:instrText xml:space="preserve">(</w:instrText>
      </w:r>
      <w:r>
        <w:rPr>
          <w:rFonts w:hint="default" w:ascii="Times New Roman" w:hAnsi="Times New Roman" w:cs="Times New Roman"/>
          <w:color w:val="auto"/>
        </w:rPr>
        <w:fldChar w:fldCharType="begin"/>
      </w:r>
      <w:r>
        <w:rPr>
          <w:rFonts w:hint="default" w:ascii="Times New Roman" w:hAnsi="Times New Roman" w:cs="Times New Roman"/>
          <w:color w:val="auto"/>
        </w:rPr>
        <w:instrText xml:space="preserve"> SEQ MTEqn \c \* Arabic \* MERGEFORMAT </w:instrText>
      </w:r>
      <w:r>
        <w:rPr>
          <w:rFonts w:hint="default" w:ascii="Times New Roman" w:hAnsi="Times New Roman" w:cs="Times New Roman"/>
          <w:color w:val="auto"/>
        </w:rPr>
        <w:fldChar w:fldCharType="separate"/>
      </w:r>
      <w:r>
        <w:rPr>
          <w:rFonts w:hint="default" w:ascii="Times New Roman" w:hAnsi="Times New Roman" w:cs="Times New Roman"/>
          <w:color w:val="auto"/>
        </w:rPr>
        <w:instrText xml:space="preserve">7</w:instrText>
      </w:r>
      <w:r>
        <w:rPr>
          <w:rFonts w:hint="default" w:ascii="Times New Roman" w:hAnsi="Times New Roman" w:cs="Times New Roman"/>
          <w:color w:val="auto"/>
        </w:rPr>
        <w:fldChar w:fldCharType="end"/>
      </w:r>
      <w:r>
        <w:rPr>
          <w:rFonts w:hint="default" w:ascii="Times New Roman" w:hAnsi="Times New Roman" w:cs="Times New Roman"/>
          <w:color w:val="auto"/>
        </w:rPr>
        <w:instrText xml:space="preserve">)</w:instrText>
      </w:r>
      <w:r>
        <w:rPr>
          <w:rFonts w:hint="default" w:ascii="Times New Roman" w:hAnsi="Times New Roman" w:cs="Times New Roman"/>
          <w:color w:val="auto"/>
        </w:rPr>
        <w:fldChar w:fldCharType="end"/>
      </w:r>
    </w:p>
    <w:p w14:paraId="5FF9B5BD">
      <w:pPr>
        <w:adjustRightInd w:val="0"/>
        <w:snapToGrid w:val="0"/>
        <w:ind w:left="2429" w:leftChars="262" w:hanging="1800" w:hangingChars="750"/>
        <w:rPr>
          <w:rFonts w:hint="default" w:ascii="Times New Roman" w:hAnsi="Times New Roman" w:cs="Times New Roman"/>
          <w:iCs/>
          <w:color w:val="auto"/>
          <w:szCs w:val="24"/>
        </w:rPr>
      </w:pPr>
      <w:r>
        <w:rPr>
          <w:rFonts w:hint="default" w:ascii="Times New Roman" w:hAnsi="Times New Roman" w:cs="Times New Roman"/>
          <w:color w:val="auto"/>
          <w:szCs w:val="24"/>
        </w:rPr>
        <w:t>式中：</w:t>
      </w:r>
      <w:r>
        <w:rPr>
          <w:rFonts w:hint="default" w:ascii="Times New Roman" w:hAnsi="Times New Roman" w:cs="Times New Roman"/>
          <w:i/>
          <w:iCs/>
          <w:color w:val="auto"/>
          <w:szCs w:val="24"/>
        </w:rPr>
        <w:t>C</w:t>
      </w:r>
      <w:r>
        <w:rPr>
          <w:rFonts w:hint="default" w:ascii="Times New Roman" w:hAnsi="Times New Roman" w:cs="Times New Roman"/>
          <w:i/>
          <w:iCs/>
          <w:color w:val="auto"/>
          <w:szCs w:val="24"/>
          <w:vertAlign w:val="subscript"/>
        </w:rPr>
        <w:t>tag</w:t>
      </w:r>
      <w:r>
        <w:rPr>
          <w:rFonts w:hint="default" w:ascii="Times New Roman" w:hAnsi="Times New Roman" w:cs="Times New Roman"/>
          <w:color w:val="auto"/>
        </w:rPr>
        <w:t>——</w:t>
      </w:r>
      <w:r>
        <w:rPr>
          <w:rFonts w:hint="eastAsia" w:cs="Times New Roman"/>
          <w:iCs/>
          <w:color w:val="auto"/>
          <w:szCs w:val="24"/>
          <w:lang w:eastAsia="zh-CN"/>
        </w:rPr>
        <w:t>装配式建筑物化阶段</w:t>
      </w:r>
      <w:r>
        <w:rPr>
          <w:rFonts w:hint="default" w:ascii="Times New Roman" w:hAnsi="Times New Roman" w:cs="Times New Roman"/>
          <w:iCs/>
          <w:color w:val="auto"/>
          <w:szCs w:val="24"/>
        </w:rPr>
        <w:t>碳标识</w:t>
      </w:r>
      <w:r>
        <w:rPr>
          <w:rFonts w:hint="default" w:ascii="Times New Roman" w:hAnsi="Times New Roman" w:cs="Times New Roman"/>
          <w:color w:val="auto"/>
          <w:szCs w:val="24"/>
        </w:rPr>
        <w:t>，tCO</w:t>
      </w:r>
      <w:r>
        <w:rPr>
          <w:rFonts w:hint="default" w:ascii="Times New Roman" w:hAnsi="Times New Roman" w:cs="Times New Roman"/>
          <w:color w:val="auto"/>
          <w:szCs w:val="24"/>
          <w:vertAlign w:val="subscript"/>
        </w:rPr>
        <w:t>2</w:t>
      </w:r>
      <w:r>
        <w:rPr>
          <w:rFonts w:hint="eastAsia" w:cs="Times New Roman"/>
          <w:color w:val="auto"/>
          <w:szCs w:val="24"/>
          <w:vertAlign w:val="baseline"/>
          <w:lang w:val="en-US" w:eastAsia="zh-CN"/>
        </w:rPr>
        <w:t>/t</w:t>
      </w:r>
      <w:r>
        <w:rPr>
          <w:rFonts w:hint="default" w:ascii="Times New Roman" w:hAnsi="Times New Roman" w:cs="Times New Roman"/>
          <w:color w:val="auto"/>
          <w:szCs w:val="24"/>
        </w:rPr>
        <w:t>；</w:t>
      </w:r>
    </w:p>
    <w:p w14:paraId="09BE0F85">
      <w:pPr>
        <w:adjustRightInd w:val="0"/>
        <w:snapToGrid w:val="0"/>
        <w:ind w:left="2429" w:leftChars="612" w:hanging="960" w:hangingChars="400"/>
        <w:rPr>
          <w:rFonts w:hint="default" w:ascii="Times New Roman" w:hAnsi="Times New Roman" w:cs="Times New Roman"/>
          <w:color w:val="auto"/>
          <w:szCs w:val="24"/>
        </w:rPr>
      </w:pPr>
      <w:r>
        <w:rPr>
          <w:rFonts w:hint="default" w:ascii="Times New Roman" w:hAnsi="Times New Roman" w:cs="Times New Roman"/>
          <w:i/>
          <w:iCs/>
          <w:color w:val="auto"/>
          <w:szCs w:val="24"/>
        </w:rPr>
        <w:t>C</w:t>
      </w:r>
      <w:r>
        <w:rPr>
          <w:rFonts w:hint="default" w:ascii="Times New Roman" w:hAnsi="Times New Roman" w:cs="Times New Roman"/>
          <w:color w:val="auto"/>
        </w:rPr>
        <w:t>——</w:t>
      </w:r>
      <w:r>
        <w:rPr>
          <w:rFonts w:hint="default" w:ascii="Times New Roman" w:hAnsi="Times New Roman" w:cs="Times New Roman"/>
          <w:color w:val="auto"/>
          <w:szCs w:val="24"/>
        </w:rPr>
        <w:t>第</w:t>
      </w:r>
      <w:r>
        <w:rPr>
          <w:rFonts w:hint="default" w:ascii="Times New Roman" w:hAnsi="Times New Roman" w:cs="Times New Roman"/>
          <w:i/>
          <w:iCs/>
          <w:color w:val="auto"/>
          <w:szCs w:val="24"/>
        </w:rPr>
        <w:t>i</w:t>
      </w:r>
      <w:r>
        <w:rPr>
          <w:rFonts w:hint="eastAsia" w:cs="Times New Roman"/>
          <w:color w:val="auto"/>
          <w:szCs w:val="24"/>
          <w:lang w:val="en-US" w:eastAsia="zh-CN"/>
        </w:rPr>
        <w:t>批次</w:t>
      </w:r>
      <w:r>
        <w:rPr>
          <w:rFonts w:hint="default" w:ascii="Times New Roman" w:hAnsi="Times New Roman" w:cs="Times New Roman"/>
          <w:color w:val="auto"/>
          <w:szCs w:val="24"/>
        </w:rPr>
        <w:t>的</w:t>
      </w:r>
      <w:r>
        <w:rPr>
          <w:rFonts w:hint="eastAsia" w:cs="Times New Roman"/>
          <w:color w:val="auto"/>
          <w:szCs w:val="24"/>
          <w:lang w:val="en-US" w:eastAsia="zh-CN"/>
        </w:rPr>
        <w:t>装配式建筑物化阶段</w:t>
      </w:r>
      <w:r>
        <w:rPr>
          <w:rFonts w:hint="default" w:ascii="Times New Roman" w:hAnsi="Times New Roman" w:cs="Times New Roman"/>
          <w:color w:val="auto"/>
        </w:rPr>
        <w:t>碳排放总量，tCO</w:t>
      </w:r>
      <w:r>
        <w:rPr>
          <w:rFonts w:hint="default" w:ascii="Times New Roman" w:hAnsi="Times New Roman" w:cs="Times New Roman"/>
          <w:color w:val="auto"/>
          <w:vertAlign w:val="subscript"/>
        </w:rPr>
        <w:t>2</w:t>
      </w:r>
      <w:r>
        <w:rPr>
          <w:rFonts w:hint="default" w:ascii="Times New Roman" w:hAnsi="Times New Roman" w:cs="Times New Roman"/>
          <w:color w:val="auto"/>
          <w:szCs w:val="24"/>
        </w:rPr>
        <w:t>；</w:t>
      </w:r>
    </w:p>
    <w:p w14:paraId="5B661E75">
      <w:pPr>
        <w:adjustRightInd w:val="0"/>
        <w:snapToGrid w:val="0"/>
        <w:ind w:left="2069" w:leftChars="612" w:hanging="600" w:hangingChars="250"/>
        <w:rPr>
          <w:rFonts w:hint="default" w:ascii="Times New Roman" w:hAnsi="Times New Roman" w:cs="Times New Roman"/>
          <w:color w:val="auto"/>
          <w:szCs w:val="24"/>
        </w:rPr>
      </w:pPr>
      <w:r>
        <w:rPr>
          <w:rFonts w:hint="default" w:ascii="Times New Roman" w:hAnsi="Times New Roman" w:cs="Times New Roman"/>
          <w:i/>
          <w:iCs/>
          <w:color w:val="auto"/>
          <w:szCs w:val="24"/>
        </w:rPr>
        <w:t>M</w:t>
      </w:r>
      <w:r>
        <w:rPr>
          <w:rFonts w:hint="default" w:ascii="Times New Roman" w:hAnsi="Times New Roman" w:cs="Times New Roman"/>
          <w:i/>
          <w:iCs/>
          <w:color w:val="auto"/>
          <w:szCs w:val="24"/>
          <w:vertAlign w:val="subscript"/>
        </w:rPr>
        <w:t>i</w:t>
      </w:r>
      <w:r>
        <w:rPr>
          <w:rFonts w:hint="default" w:ascii="Times New Roman" w:hAnsi="Times New Roman" w:cs="Times New Roman"/>
          <w:color w:val="auto"/>
        </w:rPr>
        <w:t>——</w:t>
      </w:r>
      <w:r>
        <w:rPr>
          <w:rFonts w:hint="default" w:ascii="Times New Roman" w:hAnsi="Times New Roman" w:cs="Times New Roman"/>
          <w:color w:val="auto"/>
          <w:szCs w:val="24"/>
        </w:rPr>
        <w:t>第</w:t>
      </w:r>
      <w:r>
        <w:rPr>
          <w:rFonts w:hint="default" w:ascii="Times New Roman" w:hAnsi="Times New Roman" w:cs="Times New Roman"/>
          <w:i/>
          <w:iCs/>
          <w:color w:val="auto"/>
          <w:szCs w:val="24"/>
        </w:rPr>
        <w:t>i</w:t>
      </w:r>
      <w:r>
        <w:rPr>
          <w:rFonts w:hint="eastAsia" w:cs="Times New Roman"/>
          <w:color w:val="auto"/>
          <w:szCs w:val="24"/>
          <w:lang w:val="en-US" w:eastAsia="zh-CN"/>
        </w:rPr>
        <w:t>批次</w:t>
      </w:r>
      <w:r>
        <w:rPr>
          <w:rFonts w:hint="default" w:ascii="Times New Roman" w:hAnsi="Times New Roman" w:cs="Times New Roman"/>
          <w:color w:val="auto"/>
          <w:szCs w:val="24"/>
        </w:rPr>
        <w:t>的</w:t>
      </w:r>
      <w:r>
        <w:rPr>
          <w:rFonts w:hint="eastAsia" w:cs="Times New Roman"/>
          <w:color w:val="auto"/>
          <w:szCs w:val="24"/>
          <w:lang w:val="en-US" w:eastAsia="zh-CN"/>
        </w:rPr>
        <w:t>构件</w:t>
      </w:r>
      <w:r>
        <w:rPr>
          <w:rFonts w:hint="default" w:ascii="Times New Roman" w:hAnsi="Times New Roman" w:cs="Times New Roman"/>
          <w:color w:val="auto"/>
          <w:szCs w:val="24"/>
        </w:rPr>
        <w:t>产量，t</w:t>
      </w:r>
      <w:r>
        <w:rPr>
          <w:rFonts w:hint="eastAsia" w:cs="Times New Roman"/>
          <w:color w:val="auto"/>
          <w:szCs w:val="24"/>
          <w:lang w:eastAsia="zh-CN"/>
        </w:rPr>
        <w:t>。</w:t>
      </w:r>
    </w:p>
    <w:p w14:paraId="23D4DAA3">
      <w:pPr>
        <w:pStyle w:val="3"/>
        <w:rPr>
          <w:rFonts w:hint="default" w:ascii="Times New Roman" w:hAnsi="Times New Roman" w:cs="Times New Roman"/>
          <w:color w:val="auto"/>
        </w:rPr>
      </w:pPr>
      <w:bookmarkStart w:id="90" w:name="_Toc10585"/>
      <w:bookmarkStart w:id="91" w:name="_Toc3909"/>
      <w:bookmarkStart w:id="92" w:name="_Toc8342"/>
      <w:bookmarkStart w:id="93" w:name="_Toc12109"/>
      <w:r>
        <w:rPr>
          <w:rFonts w:hint="default" w:ascii="Times New Roman" w:hAnsi="Times New Roman" w:cs="Times New Roman"/>
          <w:color w:val="auto"/>
        </w:rPr>
        <w:t>7 计量结果表达</w:t>
      </w:r>
      <w:bookmarkEnd w:id="90"/>
      <w:bookmarkEnd w:id="91"/>
      <w:bookmarkEnd w:id="92"/>
      <w:bookmarkEnd w:id="93"/>
    </w:p>
    <w:p w14:paraId="37D464D3">
      <w:pPr>
        <w:pStyle w:val="4"/>
        <w:rPr>
          <w:rFonts w:hint="default" w:ascii="Times New Roman" w:hAnsi="Times New Roman" w:cs="Times New Roman"/>
          <w:color w:val="auto"/>
        </w:rPr>
      </w:pPr>
      <w:bookmarkStart w:id="94" w:name="_Toc20008"/>
      <w:bookmarkStart w:id="95" w:name="_Toc20136"/>
      <w:bookmarkStart w:id="96" w:name="_Toc25523"/>
      <w:bookmarkStart w:id="97" w:name="_Toc2146"/>
      <w:r>
        <w:rPr>
          <w:rFonts w:hint="default" w:ascii="Times New Roman" w:hAnsi="Times New Roman" w:cs="Times New Roman"/>
          <w:color w:val="auto"/>
        </w:rPr>
        <w:t>7.1 一般要求</w:t>
      </w:r>
      <w:bookmarkEnd w:id="94"/>
      <w:bookmarkEnd w:id="95"/>
      <w:bookmarkEnd w:id="96"/>
      <w:bookmarkEnd w:id="97"/>
    </w:p>
    <w:p w14:paraId="6A2CC2AC">
      <w:pPr>
        <w:ind w:firstLine="480" w:firstLineChars="200"/>
        <w:rPr>
          <w:rFonts w:hint="default" w:ascii="Times New Roman" w:hAnsi="Times New Roman" w:cs="Times New Roman"/>
          <w:color w:val="auto"/>
          <w:szCs w:val="28"/>
        </w:rPr>
      </w:pPr>
      <w:bookmarkStart w:id="98" w:name="_Hlk143507443"/>
      <w:r>
        <w:rPr>
          <w:rFonts w:hint="eastAsia" w:cs="Times New Roman"/>
          <w:color w:val="auto"/>
          <w:szCs w:val="28"/>
          <w:lang w:eastAsia="zh-CN"/>
        </w:rPr>
        <w:t>装配式建筑物化阶段</w:t>
      </w:r>
      <w:r>
        <w:rPr>
          <w:rFonts w:hint="default" w:ascii="Times New Roman" w:hAnsi="Times New Roman" w:cs="Times New Roman"/>
          <w:color w:val="auto"/>
          <w:szCs w:val="28"/>
        </w:rPr>
        <w:t>碳排放计量结果应以报告</w:t>
      </w:r>
      <w:bookmarkEnd w:id="98"/>
      <w:r>
        <w:rPr>
          <w:rFonts w:hint="default" w:ascii="Times New Roman" w:hAnsi="Times New Roman" w:cs="Times New Roman"/>
          <w:color w:val="auto"/>
          <w:szCs w:val="28"/>
        </w:rPr>
        <w:t>形式体现，报告应包含</w:t>
      </w:r>
      <w:r>
        <w:rPr>
          <w:rFonts w:hint="eastAsia" w:cs="Times New Roman"/>
          <w:color w:val="auto"/>
          <w:szCs w:val="28"/>
          <w:lang w:eastAsia="zh-CN"/>
        </w:rPr>
        <w:t>装配式建筑物化阶段</w:t>
      </w:r>
      <w:r>
        <w:rPr>
          <w:rFonts w:hint="default" w:ascii="Times New Roman" w:hAnsi="Times New Roman" w:cs="Times New Roman"/>
          <w:color w:val="auto"/>
          <w:szCs w:val="28"/>
        </w:rPr>
        <w:t>的基本信息、</w:t>
      </w:r>
      <w:r>
        <w:rPr>
          <w:rFonts w:hint="default" w:ascii="Times New Roman" w:hAnsi="Times New Roman" w:cs="Times New Roman"/>
          <w:color w:val="auto"/>
          <w:szCs w:val="28"/>
          <w:lang w:eastAsia="zh-CN"/>
        </w:rPr>
        <w:t>构件</w:t>
      </w:r>
      <w:r>
        <w:rPr>
          <w:rFonts w:hint="eastAsia" w:cs="Times New Roman"/>
          <w:color w:val="auto"/>
          <w:szCs w:val="28"/>
          <w:lang w:eastAsia="zh-CN"/>
        </w:rPr>
        <w:t>源流</w:t>
      </w:r>
      <w:r>
        <w:rPr>
          <w:rFonts w:hint="default" w:ascii="Times New Roman" w:hAnsi="Times New Roman" w:cs="Times New Roman"/>
          <w:color w:val="auto"/>
          <w:szCs w:val="28"/>
        </w:rPr>
        <w:t>识别、活动数据及</w:t>
      </w:r>
      <w:r>
        <w:rPr>
          <w:rFonts w:hint="eastAsia" w:cs="Times New Roman"/>
          <w:color w:val="auto"/>
          <w:szCs w:val="28"/>
          <w:lang w:eastAsia="zh-CN"/>
        </w:rPr>
        <w:t>排放因子</w:t>
      </w:r>
      <w:r>
        <w:rPr>
          <w:rFonts w:hint="default" w:ascii="Times New Roman" w:hAnsi="Times New Roman" w:cs="Times New Roman"/>
          <w:color w:val="auto"/>
          <w:szCs w:val="28"/>
        </w:rPr>
        <w:t>来源、碳排放量4项基本要素。</w:t>
      </w:r>
    </w:p>
    <w:p w14:paraId="52354063">
      <w:pPr>
        <w:pStyle w:val="4"/>
        <w:rPr>
          <w:rFonts w:hint="default" w:ascii="Times New Roman" w:hAnsi="Times New Roman" w:cs="Times New Roman"/>
          <w:color w:val="auto"/>
        </w:rPr>
      </w:pPr>
      <w:bookmarkStart w:id="99" w:name="_Toc5411"/>
      <w:bookmarkStart w:id="100" w:name="_Toc29260"/>
      <w:bookmarkStart w:id="101" w:name="_Toc5590"/>
      <w:bookmarkStart w:id="102" w:name="_Toc17498"/>
      <w:r>
        <w:rPr>
          <w:rFonts w:hint="default" w:ascii="Times New Roman" w:hAnsi="Times New Roman" w:cs="Times New Roman"/>
          <w:color w:val="auto"/>
        </w:rPr>
        <w:t>7.2 报告要求</w:t>
      </w:r>
      <w:bookmarkEnd w:id="99"/>
      <w:bookmarkEnd w:id="100"/>
      <w:bookmarkEnd w:id="101"/>
      <w:bookmarkEnd w:id="102"/>
    </w:p>
    <w:p w14:paraId="5FF3F220">
      <w:pPr>
        <w:ind w:firstLine="480" w:firstLineChars="200"/>
        <w:rPr>
          <w:rFonts w:hint="default" w:ascii="Times New Roman" w:hAnsi="Times New Roman" w:cs="Times New Roman"/>
          <w:color w:val="auto"/>
          <w:szCs w:val="28"/>
        </w:rPr>
      </w:pPr>
      <w:r>
        <w:rPr>
          <w:rFonts w:hint="eastAsia" w:cs="Times New Roman"/>
          <w:color w:val="auto"/>
          <w:szCs w:val="28"/>
          <w:lang w:eastAsia="zh-CN"/>
        </w:rPr>
        <w:t>装配式建筑物化阶段</w:t>
      </w:r>
      <w:r>
        <w:rPr>
          <w:rFonts w:hint="default" w:ascii="Times New Roman" w:hAnsi="Times New Roman" w:cs="Times New Roman"/>
          <w:color w:val="auto"/>
          <w:szCs w:val="28"/>
        </w:rPr>
        <w:t>碳排放计量报告应满足以下规定，报告格式宜参考附录C。</w:t>
      </w:r>
    </w:p>
    <w:p w14:paraId="2C9C9F80">
      <w:pPr>
        <w:ind w:firstLine="480" w:firstLineChars="200"/>
        <w:rPr>
          <w:rFonts w:hint="default" w:ascii="Times New Roman" w:hAnsi="Times New Roman" w:cs="Times New Roman"/>
          <w:color w:val="auto"/>
          <w:szCs w:val="28"/>
        </w:rPr>
      </w:pPr>
      <w:r>
        <w:rPr>
          <w:rFonts w:hint="default" w:ascii="Times New Roman" w:hAnsi="Times New Roman" w:cs="Times New Roman"/>
          <w:color w:val="auto"/>
          <w:szCs w:val="28"/>
          <w:lang w:val="en-US" w:eastAsia="zh-CN"/>
        </w:rPr>
        <w:t>1</w:t>
      </w:r>
      <w:r>
        <w:rPr>
          <w:rFonts w:hint="default" w:ascii="Times New Roman" w:hAnsi="Times New Roman" w:cs="Times New Roman"/>
          <w:color w:val="auto"/>
          <w:szCs w:val="28"/>
        </w:rPr>
        <w:t>）核查并给出</w:t>
      </w:r>
      <w:r>
        <w:rPr>
          <w:rFonts w:hint="eastAsia" w:cs="Times New Roman"/>
          <w:color w:val="auto"/>
          <w:szCs w:val="28"/>
          <w:lang w:eastAsia="zh-CN"/>
        </w:rPr>
        <w:t>装配式建筑物化阶段</w:t>
      </w:r>
      <w:r>
        <w:rPr>
          <w:rFonts w:hint="default" w:ascii="Times New Roman" w:hAnsi="Times New Roman" w:cs="Times New Roman"/>
          <w:color w:val="auto"/>
          <w:szCs w:val="28"/>
        </w:rPr>
        <w:t>消耗的</w:t>
      </w:r>
      <w:r>
        <w:rPr>
          <w:rFonts w:hint="default" w:ascii="Times New Roman" w:hAnsi="Times New Roman" w:cs="Times New Roman"/>
          <w:color w:val="auto"/>
          <w:szCs w:val="28"/>
          <w:lang w:eastAsia="zh-CN"/>
        </w:rPr>
        <w:t>构件</w:t>
      </w:r>
      <w:r>
        <w:rPr>
          <w:rFonts w:hint="eastAsia" w:cs="Times New Roman"/>
          <w:color w:val="auto"/>
          <w:szCs w:val="28"/>
          <w:lang w:eastAsia="zh-CN"/>
        </w:rPr>
        <w:t>源流</w:t>
      </w:r>
      <w:r>
        <w:rPr>
          <w:rFonts w:hint="default" w:ascii="Times New Roman" w:hAnsi="Times New Roman" w:cs="Times New Roman"/>
          <w:color w:val="auto"/>
          <w:szCs w:val="28"/>
        </w:rPr>
        <w:t>清单；</w:t>
      </w:r>
    </w:p>
    <w:p w14:paraId="0F9FBE3B">
      <w:pPr>
        <w:ind w:firstLine="480" w:firstLineChars="200"/>
        <w:rPr>
          <w:rFonts w:hint="default" w:ascii="Times New Roman" w:hAnsi="Times New Roman" w:cs="Times New Roman"/>
          <w:color w:val="auto"/>
          <w:szCs w:val="28"/>
        </w:rPr>
      </w:pPr>
      <w:r>
        <w:rPr>
          <w:rFonts w:hint="default" w:ascii="Times New Roman" w:hAnsi="Times New Roman" w:cs="Times New Roman"/>
          <w:color w:val="auto"/>
          <w:szCs w:val="28"/>
          <w:lang w:val="en-US" w:eastAsia="zh-CN"/>
        </w:rPr>
        <w:t>2</w:t>
      </w:r>
      <w:r>
        <w:rPr>
          <w:rFonts w:hint="default" w:ascii="Times New Roman" w:hAnsi="Times New Roman" w:cs="Times New Roman"/>
          <w:color w:val="auto"/>
          <w:szCs w:val="28"/>
        </w:rPr>
        <w:t>）明确能源计量器具配备和溯源情况，核实不同种类化石能源的消耗量和低位发热量、净购入的电量和</w:t>
      </w:r>
      <w:r>
        <w:rPr>
          <w:rFonts w:hint="eastAsia" w:cs="Times New Roman"/>
          <w:color w:val="auto"/>
          <w:szCs w:val="28"/>
          <w:lang w:eastAsia="zh-CN"/>
        </w:rPr>
        <w:t>热</w:t>
      </w:r>
      <w:r>
        <w:rPr>
          <w:rFonts w:hint="default" w:ascii="Times New Roman" w:hAnsi="Times New Roman" w:cs="Times New Roman"/>
          <w:color w:val="auto"/>
          <w:szCs w:val="28"/>
        </w:rPr>
        <w:t>量、其他系统的碳抵消量，以及各种活动数据的来源和不确定度；</w:t>
      </w:r>
    </w:p>
    <w:p w14:paraId="7E5190E8">
      <w:pPr>
        <w:ind w:firstLine="480" w:firstLineChars="200"/>
        <w:rPr>
          <w:rFonts w:hint="default" w:ascii="Times New Roman" w:hAnsi="Times New Roman" w:cs="Times New Roman"/>
          <w:color w:val="auto"/>
          <w:szCs w:val="28"/>
        </w:rPr>
      </w:pPr>
      <w:r>
        <w:rPr>
          <w:rFonts w:hint="default" w:ascii="Times New Roman" w:hAnsi="Times New Roman" w:cs="Times New Roman"/>
          <w:color w:val="auto"/>
          <w:szCs w:val="28"/>
          <w:lang w:val="en-US" w:eastAsia="zh-CN"/>
        </w:rPr>
        <w:t>3</w:t>
      </w:r>
      <w:r>
        <w:rPr>
          <w:rFonts w:hint="default" w:ascii="Times New Roman" w:hAnsi="Times New Roman" w:cs="Times New Roman"/>
          <w:color w:val="auto"/>
          <w:szCs w:val="28"/>
        </w:rPr>
        <w:t>）分别确定所使用的不同种类化石燃料的碳氧化率和排放因子，购入电力、热力和冷源在生产过程中的</w:t>
      </w:r>
      <w:r>
        <w:rPr>
          <w:rFonts w:hint="eastAsia" w:cs="Times New Roman"/>
          <w:color w:val="auto"/>
          <w:szCs w:val="28"/>
          <w:lang w:eastAsia="zh-CN"/>
        </w:rPr>
        <w:t>排放因子</w:t>
      </w:r>
      <w:r>
        <w:rPr>
          <w:rFonts w:hint="default" w:ascii="Times New Roman" w:hAnsi="Times New Roman" w:cs="Times New Roman"/>
          <w:color w:val="auto"/>
          <w:szCs w:val="28"/>
        </w:rPr>
        <w:t>，以及各</w:t>
      </w:r>
      <w:r>
        <w:rPr>
          <w:rFonts w:hint="default" w:ascii="Times New Roman" w:hAnsi="Times New Roman" w:cs="Times New Roman"/>
          <w:color w:val="auto"/>
          <w:szCs w:val="28"/>
          <w:lang w:eastAsia="zh-CN"/>
        </w:rPr>
        <w:t>构件</w:t>
      </w:r>
      <w:r>
        <w:rPr>
          <w:rFonts w:hint="eastAsia" w:cs="Times New Roman"/>
          <w:color w:val="auto"/>
          <w:szCs w:val="28"/>
          <w:lang w:eastAsia="zh-CN"/>
        </w:rPr>
        <w:t>源流</w:t>
      </w:r>
      <w:r>
        <w:rPr>
          <w:rFonts w:hint="default" w:ascii="Times New Roman" w:hAnsi="Times New Roman" w:cs="Times New Roman"/>
          <w:color w:val="auto"/>
          <w:szCs w:val="28"/>
        </w:rPr>
        <w:t>的</w:t>
      </w:r>
      <w:r>
        <w:rPr>
          <w:rFonts w:hint="eastAsia" w:cs="Times New Roman"/>
          <w:color w:val="auto"/>
          <w:szCs w:val="28"/>
          <w:lang w:eastAsia="zh-CN"/>
        </w:rPr>
        <w:t>排放因子</w:t>
      </w:r>
      <w:r>
        <w:rPr>
          <w:rFonts w:hint="default" w:ascii="Times New Roman" w:hAnsi="Times New Roman" w:cs="Times New Roman"/>
          <w:color w:val="auto"/>
          <w:szCs w:val="28"/>
        </w:rPr>
        <w:t>来源和所有实测数据的不确定度；</w:t>
      </w:r>
    </w:p>
    <w:p w14:paraId="1A310C52">
      <w:pPr>
        <w:ind w:firstLine="480" w:firstLineChars="200"/>
        <w:rPr>
          <w:rFonts w:hint="default" w:ascii="Times New Roman" w:hAnsi="Times New Roman" w:cs="Times New Roman"/>
          <w:color w:val="auto"/>
          <w:szCs w:val="28"/>
        </w:rPr>
      </w:pPr>
      <w:r>
        <w:rPr>
          <w:rFonts w:hint="default" w:ascii="Times New Roman" w:hAnsi="Times New Roman" w:cs="Times New Roman"/>
          <w:color w:val="auto"/>
          <w:szCs w:val="28"/>
          <w:lang w:val="en-US" w:eastAsia="zh-CN"/>
        </w:rPr>
        <w:t>4</w:t>
      </w:r>
      <w:r>
        <w:rPr>
          <w:rFonts w:hint="default" w:ascii="Times New Roman" w:hAnsi="Times New Roman" w:cs="Times New Roman"/>
          <w:color w:val="auto"/>
          <w:szCs w:val="28"/>
        </w:rPr>
        <w:t>）核算得到</w:t>
      </w:r>
      <w:r>
        <w:rPr>
          <w:rFonts w:hint="eastAsia" w:cs="Times New Roman"/>
          <w:color w:val="auto"/>
          <w:szCs w:val="28"/>
          <w:lang w:val="en-US" w:eastAsia="zh-CN"/>
        </w:rPr>
        <w:t>批次</w:t>
      </w:r>
      <w:r>
        <w:rPr>
          <w:rFonts w:hint="default" w:ascii="Times New Roman" w:hAnsi="Times New Roman" w:cs="Times New Roman"/>
          <w:color w:val="auto"/>
          <w:szCs w:val="28"/>
        </w:rPr>
        <w:t>报告期内各</w:t>
      </w:r>
      <w:r>
        <w:rPr>
          <w:rFonts w:hint="eastAsia" w:cs="Times New Roman"/>
          <w:color w:val="auto"/>
          <w:szCs w:val="28"/>
          <w:lang w:eastAsia="zh-CN"/>
        </w:rPr>
        <w:t>源流</w:t>
      </w:r>
      <w:r>
        <w:rPr>
          <w:rFonts w:hint="default" w:ascii="Times New Roman" w:hAnsi="Times New Roman" w:cs="Times New Roman"/>
          <w:color w:val="auto"/>
          <w:szCs w:val="28"/>
        </w:rPr>
        <w:t>产生的碳排放量，并分别给出标准不确定度，当某个</w:t>
      </w:r>
      <w:r>
        <w:rPr>
          <w:rFonts w:hint="default" w:ascii="Times New Roman" w:hAnsi="Times New Roman" w:cs="Times New Roman"/>
          <w:color w:val="auto"/>
          <w:szCs w:val="28"/>
          <w:lang w:eastAsia="zh-CN"/>
        </w:rPr>
        <w:t>构件</w:t>
      </w:r>
      <w:r>
        <w:rPr>
          <w:rFonts w:hint="eastAsia" w:cs="Times New Roman"/>
          <w:color w:val="auto"/>
          <w:szCs w:val="28"/>
          <w:lang w:eastAsia="zh-CN"/>
        </w:rPr>
        <w:t>源流</w:t>
      </w:r>
      <w:r>
        <w:rPr>
          <w:rFonts w:hint="default" w:ascii="Times New Roman" w:hAnsi="Times New Roman" w:cs="Times New Roman"/>
          <w:color w:val="auto"/>
          <w:szCs w:val="28"/>
        </w:rPr>
        <w:t>选取</w:t>
      </w:r>
      <w:r>
        <w:rPr>
          <w:rFonts w:hint="eastAsia" w:cs="Times New Roman"/>
          <w:color w:val="auto"/>
          <w:szCs w:val="28"/>
          <w:lang w:eastAsia="zh-CN"/>
        </w:rPr>
        <w:t>排放因子</w:t>
      </w:r>
      <w:r>
        <w:rPr>
          <w:rFonts w:hint="default" w:ascii="Times New Roman" w:hAnsi="Times New Roman" w:cs="Times New Roman"/>
          <w:color w:val="auto"/>
          <w:szCs w:val="28"/>
        </w:rPr>
        <w:t>为缺省值时应备注，最终明确</w:t>
      </w:r>
      <w:r>
        <w:rPr>
          <w:rFonts w:hint="eastAsia" w:cs="Times New Roman"/>
          <w:color w:val="auto"/>
          <w:szCs w:val="28"/>
          <w:lang w:val="en-US" w:eastAsia="zh-CN"/>
        </w:rPr>
        <w:t>批次</w:t>
      </w:r>
      <w:r>
        <w:rPr>
          <w:rFonts w:hint="default" w:ascii="Times New Roman" w:hAnsi="Times New Roman" w:cs="Times New Roman"/>
          <w:color w:val="auto"/>
          <w:szCs w:val="28"/>
        </w:rPr>
        <w:t>报告期内总碳排放量和</w:t>
      </w:r>
      <w:r>
        <w:rPr>
          <w:rFonts w:hint="eastAsia" w:cs="Times New Roman"/>
          <w:color w:val="auto"/>
          <w:szCs w:val="28"/>
          <w:highlight w:val="none"/>
          <w:lang w:eastAsia="zh-CN"/>
        </w:rPr>
        <w:t>装配式建筑物化阶段</w:t>
      </w:r>
      <w:r>
        <w:rPr>
          <w:rFonts w:hint="default" w:ascii="Times New Roman" w:hAnsi="Times New Roman" w:cs="Times New Roman"/>
          <w:color w:val="auto"/>
          <w:szCs w:val="28"/>
          <w:highlight w:val="none"/>
        </w:rPr>
        <w:t>碳标识</w:t>
      </w:r>
      <w:r>
        <w:rPr>
          <w:rFonts w:hint="default" w:ascii="Times New Roman" w:hAnsi="Times New Roman" w:cs="Times New Roman"/>
          <w:color w:val="auto"/>
          <w:szCs w:val="28"/>
        </w:rPr>
        <w:t>，给出合成不确定度，不确定度分析和示例可参考附录D</w:t>
      </w:r>
      <w:r>
        <w:rPr>
          <w:rFonts w:hint="eastAsia" w:cs="Times New Roman"/>
          <w:color w:val="auto"/>
          <w:szCs w:val="28"/>
          <w:lang w:val="en-US" w:eastAsia="zh-CN"/>
        </w:rPr>
        <w:t>和附录E</w:t>
      </w:r>
      <w:r>
        <w:rPr>
          <w:rFonts w:hint="default" w:ascii="Times New Roman" w:hAnsi="Times New Roman" w:cs="Times New Roman"/>
          <w:color w:val="auto"/>
          <w:szCs w:val="28"/>
        </w:rPr>
        <w:t>。</w:t>
      </w:r>
    </w:p>
    <w:p w14:paraId="66B258F7">
      <w:pPr>
        <w:ind w:firstLine="480" w:firstLineChars="200"/>
        <w:rPr>
          <w:rFonts w:hint="default" w:ascii="Times New Roman" w:hAnsi="Times New Roman" w:cs="Times New Roman"/>
          <w:color w:val="auto"/>
          <w:szCs w:val="28"/>
        </w:rPr>
      </w:pPr>
    </w:p>
    <w:p w14:paraId="630BD7E4">
      <w:pPr>
        <w:ind w:firstLine="480" w:firstLineChars="200"/>
        <w:rPr>
          <w:rFonts w:hint="default" w:ascii="Times New Roman" w:hAnsi="Times New Roman" w:cs="Times New Roman"/>
          <w:color w:val="auto"/>
          <w:szCs w:val="28"/>
        </w:rPr>
        <w:sectPr>
          <w:footerReference r:id="rId7" w:type="default"/>
          <w:pgSz w:w="11906" w:h="16838"/>
          <w:pgMar w:top="1440" w:right="1803" w:bottom="1440" w:left="1803" w:header="851" w:footer="992" w:gutter="0"/>
          <w:pgNumType w:start="1"/>
          <w:cols w:space="425" w:num="1"/>
          <w:docGrid w:type="lines" w:linePitch="312" w:charSpace="0"/>
        </w:sectPr>
      </w:pPr>
    </w:p>
    <w:p w14:paraId="58662FB3">
      <w:pPr>
        <w:pStyle w:val="3"/>
        <w:jc w:val="left"/>
        <w:rPr>
          <w:rFonts w:hint="default" w:ascii="Times New Roman" w:hAnsi="Times New Roman" w:cs="Times New Roman"/>
          <w:color w:val="auto"/>
          <w:szCs w:val="24"/>
        </w:rPr>
      </w:pPr>
      <w:bookmarkStart w:id="103" w:name="_Toc1836"/>
      <w:bookmarkStart w:id="104" w:name="_Toc22301"/>
      <w:bookmarkStart w:id="105" w:name="_Toc578"/>
      <w:bookmarkStart w:id="106" w:name="_Toc29801"/>
      <w:r>
        <w:rPr>
          <w:rFonts w:hint="default" w:ascii="Times New Roman" w:hAnsi="Times New Roman" w:cs="Times New Roman"/>
          <w:bCs w:val="0"/>
          <w:color w:val="auto"/>
          <w:szCs w:val="24"/>
        </w:rPr>
        <w:t>附录A</w:t>
      </w:r>
      <w:bookmarkEnd w:id="103"/>
      <w:bookmarkEnd w:id="104"/>
      <w:bookmarkEnd w:id="105"/>
      <w:bookmarkEnd w:id="106"/>
      <w:r>
        <w:rPr>
          <w:rFonts w:hint="default" w:ascii="Times New Roman" w:hAnsi="Times New Roman" w:cs="Times New Roman"/>
          <w:bCs w:val="0"/>
          <w:color w:val="auto"/>
          <w:szCs w:val="24"/>
        </w:rPr>
        <w:t xml:space="preserve"> </w:t>
      </w:r>
    </w:p>
    <w:p w14:paraId="6340D91E">
      <w:pPr>
        <w:jc w:val="center"/>
        <w:rPr>
          <w:rFonts w:hint="default" w:ascii="Times New Roman" w:hAnsi="Times New Roman" w:eastAsia="黑体" w:cs="Times New Roman"/>
          <w:color w:val="auto"/>
          <w:szCs w:val="24"/>
        </w:rPr>
      </w:pPr>
      <w:bookmarkStart w:id="107" w:name="_Hlk148704227"/>
      <w:bookmarkStart w:id="108" w:name="_Hlk143421439"/>
      <w:r>
        <w:rPr>
          <w:rFonts w:hint="default" w:ascii="Times New Roman" w:hAnsi="Times New Roman" w:eastAsia="黑体" w:cs="Times New Roman"/>
          <w:color w:val="auto"/>
          <w:szCs w:val="24"/>
          <w:lang w:eastAsia="zh-CN"/>
        </w:rPr>
        <w:t>构件</w:t>
      </w:r>
      <w:r>
        <w:rPr>
          <w:rFonts w:hint="eastAsia" w:eastAsia="黑体" w:cs="Times New Roman"/>
          <w:color w:val="auto"/>
          <w:szCs w:val="24"/>
          <w:lang w:eastAsia="zh-CN"/>
        </w:rPr>
        <w:t>源流</w:t>
      </w:r>
      <w:r>
        <w:rPr>
          <w:rFonts w:hint="default" w:ascii="Times New Roman" w:hAnsi="Times New Roman" w:eastAsia="黑体" w:cs="Times New Roman"/>
          <w:color w:val="auto"/>
          <w:szCs w:val="24"/>
        </w:rPr>
        <w:t>清单及编码规则</w:t>
      </w:r>
    </w:p>
    <w:bookmarkEnd w:id="107"/>
    <w:p w14:paraId="23160535">
      <w:pPr>
        <w:rPr>
          <w:rFonts w:hint="default" w:ascii="Times New Roman" w:hAnsi="Times New Roman" w:cs="Times New Roman"/>
          <w:color w:val="auto"/>
          <w:szCs w:val="28"/>
        </w:rPr>
      </w:pPr>
      <w:bookmarkStart w:id="109" w:name="OLE_LINK3"/>
      <w:r>
        <w:rPr>
          <w:rFonts w:hint="default" w:ascii="Times New Roman" w:hAnsi="Times New Roman" w:cs="Times New Roman"/>
          <w:color w:val="auto"/>
          <w:szCs w:val="28"/>
        </w:rPr>
        <w:t xml:space="preserve">A.1 </w:t>
      </w:r>
      <w:bookmarkEnd w:id="108"/>
      <w:r>
        <w:rPr>
          <w:rFonts w:hint="default" w:ascii="Times New Roman" w:hAnsi="Times New Roman" w:cs="Times New Roman"/>
          <w:color w:val="auto"/>
          <w:szCs w:val="28"/>
          <w:lang w:eastAsia="zh-CN"/>
        </w:rPr>
        <w:t>构件</w:t>
      </w:r>
      <w:r>
        <w:rPr>
          <w:rFonts w:hint="eastAsia" w:cs="Times New Roman"/>
          <w:color w:val="auto"/>
          <w:szCs w:val="28"/>
          <w:lang w:eastAsia="zh-CN"/>
        </w:rPr>
        <w:t>源流</w:t>
      </w:r>
      <w:r>
        <w:rPr>
          <w:rFonts w:hint="default" w:ascii="Times New Roman" w:hAnsi="Times New Roman" w:cs="Times New Roman"/>
          <w:color w:val="auto"/>
          <w:szCs w:val="28"/>
        </w:rPr>
        <w:t>清单示例</w:t>
      </w:r>
    </w:p>
    <w:p w14:paraId="2A8428FB">
      <w:pPr>
        <w:ind w:firstLine="0" w:firstLineChars="0"/>
        <w:jc w:val="center"/>
        <w:rPr>
          <w:rFonts w:hint="default" w:ascii="Times New Roman" w:hAnsi="Times New Roman" w:eastAsia="黑体" w:cs="Times New Roman"/>
          <w:color w:val="auto"/>
          <w:sz w:val="21"/>
          <w:szCs w:val="21"/>
        </w:rPr>
      </w:pPr>
      <w:r>
        <w:rPr>
          <w:rFonts w:hint="default" w:ascii="Times New Roman" w:hAnsi="Times New Roman" w:eastAsia="黑体" w:cs="Times New Roman"/>
          <w:color w:val="auto"/>
          <w:sz w:val="21"/>
          <w:szCs w:val="21"/>
        </w:rPr>
        <w:t xml:space="preserve">表A.1 </w:t>
      </w:r>
      <w:r>
        <w:rPr>
          <w:rFonts w:hint="default" w:ascii="Times New Roman" w:hAnsi="Times New Roman" w:eastAsia="黑体" w:cs="Times New Roman"/>
          <w:color w:val="auto"/>
          <w:sz w:val="21"/>
          <w:szCs w:val="21"/>
          <w:lang w:eastAsia="zh-CN"/>
        </w:rPr>
        <w:t>构件</w:t>
      </w:r>
      <w:r>
        <w:rPr>
          <w:rFonts w:hint="eastAsia" w:eastAsia="黑体" w:cs="Times New Roman"/>
          <w:color w:val="auto"/>
          <w:sz w:val="21"/>
          <w:szCs w:val="21"/>
          <w:lang w:eastAsia="zh-CN"/>
        </w:rPr>
        <w:t>源流</w:t>
      </w:r>
      <w:r>
        <w:rPr>
          <w:rFonts w:hint="default" w:ascii="Times New Roman" w:hAnsi="Times New Roman" w:eastAsia="黑体" w:cs="Times New Roman"/>
          <w:color w:val="auto"/>
          <w:sz w:val="21"/>
          <w:szCs w:val="21"/>
        </w:rPr>
        <w:t>清单（例）</w:t>
      </w:r>
    </w:p>
    <w:tbl>
      <w:tblPr>
        <w:tblStyle w:val="19"/>
        <w:tblW w:w="4653"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384"/>
        <w:gridCol w:w="581"/>
        <w:gridCol w:w="1145"/>
        <w:gridCol w:w="1782"/>
        <w:gridCol w:w="1715"/>
        <w:gridCol w:w="2155"/>
      </w:tblGrid>
      <w:tr w14:paraId="586247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10" w:hRule="atLeast"/>
          <w:jc w:val="center"/>
        </w:trPr>
        <w:tc>
          <w:tcPr>
            <w:tcW w:w="247" w:type="pct"/>
            <w:shd w:val="clear" w:color="auto" w:fill="auto"/>
            <w:tcMar>
              <w:top w:w="20" w:type="dxa"/>
              <w:left w:w="30" w:type="dxa"/>
              <w:bottom w:w="20" w:type="dxa"/>
              <w:right w:w="30" w:type="dxa"/>
            </w:tcMar>
            <w:vAlign w:val="center"/>
          </w:tcPr>
          <w:p w14:paraId="7208E080">
            <w:pPr>
              <w:jc w:val="center"/>
              <w:rPr>
                <w:rFonts w:hint="default" w:ascii="宋体" w:hAnsi="宋体" w:eastAsia="宋体" w:cs="Times New Roman"/>
                <w:color w:val="000000" w:themeColor="text1"/>
                <w:sz w:val="21"/>
                <w:szCs w:val="21"/>
                <w14:textFill>
                  <w14:solidFill>
                    <w14:schemeClr w14:val="tx1"/>
                  </w14:solidFill>
                </w14:textFill>
              </w:rPr>
            </w:pPr>
            <w:r>
              <w:rPr>
                <w:rFonts w:hint="default" w:ascii="宋体" w:hAnsi="宋体" w:eastAsia="宋体" w:cs="Times New Roman"/>
                <w:color w:val="000000" w:themeColor="text1"/>
                <w:sz w:val="21"/>
                <w:szCs w:val="21"/>
                <w14:textFill>
                  <w14:solidFill>
                    <w14:schemeClr w14:val="tx1"/>
                  </w14:solidFill>
                </w14:textFill>
              </w:rPr>
              <w:t>序号</w:t>
            </w:r>
          </w:p>
        </w:tc>
        <w:tc>
          <w:tcPr>
            <w:tcW w:w="374" w:type="pct"/>
            <w:shd w:val="clear" w:color="auto" w:fill="auto"/>
            <w:tcMar>
              <w:top w:w="20" w:type="dxa"/>
              <w:left w:w="30" w:type="dxa"/>
              <w:bottom w:w="20" w:type="dxa"/>
              <w:right w:w="30" w:type="dxa"/>
            </w:tcMar>
            <w:vAlign w:val="center"/>
          </w:tcPr>
          <w:p w14:paraId="63F816DD">
            <w:pPr>
              <w:jc w:val="center"/>
              <w:rPr>
                <w:rFonts w:hint="default" w:ascii="宋体" w:hAnsi="宋体" w:eastAsia="宋体" w:cs="Times New Roman"/>
                <w:color w:val="000000" w:themeColor="text1"/>
                <w:sz w:val="21"/>
                <w:szCs w:val="21"/>
                <w14:textFill>
                  <w14:solidFill>
                    <w14:schemeClr w14:val="tx1"/>
                  </w14:solidFill>
                </w14:textFill>
              </w:rPr>
            </w:pPr>
            <w:r>
              <w:rPr>
                <w:rFonts w:hint="default" w:ascii="宋体" w:hAnsi="宋体" w:eastAsia="宋体" w:cs="Times New Roman"/>
                <w:color w:val="000000" w:themeColor="text1"/>
                <w:sz w:val="21"/>
                <w:szCs w:val="21"/>
                <w14:textFill>
                  <w14:solidFill>
                    <w14:schemeClr w14:val="tx1"/>
                  </w14:solidFill>
                </w14:textFill>
              </w:rPr>
              <w:t>生产系统</w:t>
            </w:r>
          </w:p>
        </w:tc>
        <w:tc>
          <w:tcPr>
            <w:tcW w:w="737" w:type="pct"/>
            <w:shd w:val="clear" w:color="auto" w:fill="auto"/>
            <w:tcMar>
              <w:top w:w="20" w:type="dxa"/>
              <w:left w:w="30" w:type="dxa"/>
              <w:bottom w:w="20" w:type="dxa"/>
              <w:right w:w="30" w:type="dxa"/>
            </w:tcMar>
            <w:vAlign w:val="center"/>
          </w:tcPr>
          <w:p w14:paraId="273CC361">
            <w:pPr>
              <w:jc w:val="center"/>
              <w:rPr>
                <w:rFonts w:hint="eastAsia" w:ascii="宋体" w:hAnsi="宋体" w:eastAsia="宋体" w:cs="Times New Roman"/>
                <w:color w:val="000000" w:themeColor="text1"/>
                <w:sz w:val="21"/>
                <w:szCs w:val="21"/>
                <w:lang w:val="en-US" w:eastAsia="zh-CN"/>
                <w14:textFill>
                  <w14:solidFill>
                    <w14:schemeClr w14:val="tx1"/>
                  </w14:solidFill>
                </w14:textFill>
              </w:rPr>
            </w:pPr>
            <w:r>
              <w:rPr>
                <w:rFonts w:hint="default" w:ascii="宋体" w:hAnsi="宋体" w:eastAsia="宋体" w:cs="Times New Roman"/>
                <w:color w:val="000000" w:themeColor="text1"/>
                <w:sz w:val="21"/>
                <w:szCs w:val="21"/>
                <w14:textFill>
                  <w14:solidFill>
                    <w14:schemeClr w14:val="tx1"/>
                  </w14:solidFill>
                </w14:textFill>
              </w:rPr>
              <w:t>工艺</w:t>
            </w:r>
            <w:r>
              <w:rPr>
                <w:rFonts w:hint="eastAsia" w:ascii="宋体" w:hAnsi="宋体" w:eastAsia="宋体" w:cs="Times New Roman"/>
                <w:color w:val="000000" w:themeColor="text1"/>
                <w:sz w:val="21"/>
                <w:szCs w:val="21"/>
                <w:lang w:val="en-US" w:eastAsia="zh-CN"/>
                <w14:textFill>
                  <w14:solidFill>
                    <w14:schemeClr w14:val="tx1"/>
                  </w14:solidFill>
                </w14:textFill>
              </w:rPr>
              <w:t>过程</w:t>
            </w:r>
          </w:p>
        </w:tc>
        <w:tc>
          <w:tcPr>
            <w:tcW w:w="1147" w:type="pct"/>
            <w:shd w:val="clear" w:color="auto" w:fill="auto"/>
            <w:tcMar>
              <w:top w:w="20" w:type="dxa"/>
              <w:left w:w="30" w:type="dxa"/>
              <w:bottom w:w="20" w:type="dxa"/>
              <w:right w:w="30" w:type="dxa"/>
            </w:tcMar>
            <w:vAlign w:val="center"/>
          </w:tcPr>
          <w:p w14:paraId="3178CC0E">
            <w:pPr>
              <w:jc w:val="center"/>
              <w:rPr>
                <w:rFonts w:hint="default" w:ascii="宋体" w:hAnsi="宋体" w:eastAsia="宋体" w:cs="Times New Roman"/>
                <w:color w:val="000000" w:themeColor="text1"/>
                <w:sz w:val="21"/>
                <w:szCs w:val="21"/>
                <w14:textFill>
                  <w14:solidFill>
                    <w14:schemeClr w14:val="tx1"/>
                  </w14:solidFill>
                </w14:textFill>
              </w:rPr>
            </w:pPr>
            <w:r>
              <w:rPr>
                <w:rFonts w:hint="default" w:ascii="宋体" w:hAnsi="宋体" w:eastAsia="宋体" w:cs="Times New Roman"/>
                <w:color w:val="000000" w:themeColor="text1"/>
                <w:sz w:val="21"/>
                <w:szCs w:val="21"/>
                <w:lang w:eastAsia="zh-CN"/>
                <w14:textFill>
                  <w14:solidFill>
                    <w14:schemeClr w14:val="tx1"/>
                  </w14:solidFill>
                </w14:textFill>
              </w:rPr>
              <w:t>源流</w:t>
            </w:r>
          </w:p>
        </w:tc>
        <w:tc>
          <w:tcPr>
            <w:tcW w:w="1104" w:type="pct"/>
            <w:shd w:val="clear" w:color="auto" w:fill="auto"/>
            <w:tcMar>
              <w:top w:w="20" w:type="dxa"/>
              <w:left w:w="30" w:type="dxa"/>
              <w:bottom w:w="20" w:type="dxa"/>
              <w:right w:w="30" w:type="dxa"/>
            </w:tcMar>
            <w:vAlign w:val="center"/>
          </w:tcPr>
          <w:p w14:paraId="6838D290">
            <w:pPr>
              <w:jc w:val="center"/>
              <w:rPr>
                <w:rFonts w:hint="default" w:ascii="宋体" w:hAnsi="宋体" w:eastAsia="宋体" w:cs="Times New Roman"/>
                <w:color w:val="000000" w:themeColor="text1"/>
                <w:sz w:val="21"/>
                <w:szCs w:val="21"/>
                <w:lang w:val="en-US" w:eastAsia="zh-CN"/>
                <w14:textFill>
                  <w14:solidFill>
                    <w14:schemeClr w14:val="tx1"/>
                  </w14:solidFill>
                </w14:textFill>
              </w:rPr>
            </w:pPr>
            <w:r>
              <w:rPr>
                <w:rFonts w:hint="eastAsia" w:ascii="宋体" w:hAnsi="宋体" w:eastAsia="宋体" w:cs="Times New Roman"/>
                <w:color w:val="000000" w:themeColor="text1"/>
                <w:sz w:val="21"/>
                <w:szCs w:val="21"/>
                <w:lang w:val="en-US" w:eastAsia="zh-CN"/>
                <w14:textFill>
                  <w14:solidFill>
                    <w14:schemeClr w14:val="tx1"/>
                  </w14:solidFill>
                </w14:textFill>
              </w:rPr>
              <w:t>排放源</w:t>
            </w:r>
          </w:p>
        </w:tc>
        <w:tc>
          <w:tcPr>
            <w:tcW w:w="1387" w:type="pct"/>
            <w:shd w:val="clear" w:color="auto" w:fill="auto"/>
            <w:tcMar>
              <w:top w:w="20" w:type="dxa"/>
              <w:bottom w:w="20" w:type="dxa"/>
            </w:tcMar>
            <w:vAlign w:val="center"/>
          </w:tcPr>
          <w:p w14:paraId="2BCCCC3E">
            <w:pPr>
              <w:jc w:val="center"/>
              <w:rPr>
                <w:rFonts w:hint="default" w:ascii="宋体" w:hAnsi="宋体" w:eastAsia="宋体" w:cs="Times New Roman"/>
                <w:color w:val="000000" w:themeColor="text1"/>
                <w:sz w:val="21"/>
                <w:szCs w:val="21"/>
                <w14:textFill>
                  <w14:solidFill>
                    <w14:schemeClr w14:val="tx1"/>
                  </w14:solidFill>
                </w14:textFill>
              </w:rPr>
            </w:pPr>
            <w:r>
              <w:rPr>
                <w:rFonts w:hint="default" w:ascii="宋体" w:hAnsi="宋体" w:eastAsia="宋体" w:cs="Times New Roman"/>
                <w:color w:val="000000" w:themeColor="text1"/>
                <w:sz w:val="21"/>
                <w:szCs w:val="21"/>
                <w14:textFill>
                  <w14:solidFill>
                    <w14:schemeClr w14:val="tx1"/>
                  </w14:solidFill>
                </w14:textFill>
              </w:rPr>
              <w:t>主要的固定及移动设备</w:t>
            </w:r>
          </w:p>
        </w:tc>
      </w:tr>
      <w:tr w14:paraId="1E4A9E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10" w:hRule="atLeast"/>
          <w:jc w:val="center"/>
        </w:trPr>
        <w:tc>
          <w:tcPr>
            <w:tcW w:w="247" w:type="pct"/>
            <w:vMerge w:val="restart"/>
            <w:shd w:val="clear" w:color="auto" w:fill="auto"/>
            <w:tcMar>
              <w:top w:w="20" w:type="dxa"/>
              <w:left w:w="30" w:type="dxa"/>
              <w:bottom w:w="20" w:type="dxa"/>
              <w:right w:w="30" w:type="dxa"/>
            </w:tcMar>
            <w:vAlign w:val="center"/>
          </w:tcPr>
          <w:p w14:paraId="48EC1C8F">
            <w:pPr>
              <w:jc w:val="center"/>
              <w:rPr>
                <w:rFonts w:hint="default" w:ascii="宋体" w:hAnsi="宋体" w:eastAsia="宋体" w:cs="Times New Roman"/>
                <w:kern w:val="2"/>
                <w:sz w:val="21"/>
                <w:szCs w:val="21"/>
                <w:lang w:val="en-US" w:eastAsia="zh-CN" w:bidi="ar-SA"/>
              </w:rPr>
            </w:pPr>
            <w:r>
              <w:rPr>
                <w:rFonts w:hint="default" w:ascii="宋体" w:hAnsi="宋体" w:eastAsia="宋体" w:cs="Times New Roman"/>
                <w:kern w:val="2"/>
                <w:sz w:val="21"/>
                <w:szCs w:val="21"/>
                <w:lang w:val="en-US" w:eastAsia="zh-CN" w:bidi="ar-SA"/>
              </w:rPr>
              <w:t>1</w:t>
            </w:r>
          </w:p>
        </w:tc>
        <w:tc>
          <w:tcPr>
            <w:tcW w:w="374" w:type="pct"/>
            <w:vMerge w:val="restart"/>
            <w:shd w:val="clear" w:color="auto" w:fill="auto"/>
            <w:tcMar>
              <w:top w:w="20" w:type="dxa"/>
              <w:left w:w="30" w:type="dxa"/>
              <w:bottom w:w="20" w:type="dxa"/>
              <w:right w:w="30" w:type="dxa"/>
            </w:tcMar>
            <w:vAlign w:val="center"/>
          </w:tcPr>
          <w:p w14:paraId="35713A61">
            <w:pPr>
              <w:jc w:val="center"/>
              <w:rPr>
                <w:rFonts w:hint="eastAsia" w:ascii="宋体" w:hAnsi="宋体" w:eastAsia="宋体" w:cs="Times New Roman"/>
                <w:kern w:val="2"/>
                <w:sz w:val="21"/>
                <w:szCs w:val="21"/>
                <w:lang w:val="en-US" w:eastAsia="zh-CN" w:bidi="ar-SA"/>
              </w:rPr>
            </w:pPr>
            <w:r>
              <w:rPr>
                <w:rFonts w:hint="eastAsia" w:ascii="宋体" w:hAnsi="宋体" w:eastAsia="宋体" w:cs="Times New Roman"/>
                <w:kern w:val="2"/>
                <w:sz w:val="21"/>
                <w:szCs w:val="21"/>
                <w:lang w:val="en-US" w:eastAsia="zh-CN" w:bidi="ar-SA"/>
              </w:rPr>
              <w:t>直接生产系统</w:t>
            </w:r>
          </w:p>
        </w:tc>
        <w:tc>
          <w:tcPr>
            <w:tcW w:w="737" w:type="pct"/>
            <w:shd w:val="clear" w:color="auto" w:fill="auto"/>
            <w:tcMar>
              <w:top w:w="20" w:type="dxa"/>
              <w:left w:w="30" w:type="dxa"/>
              <w:bottom w:w="20" w:type="dxa"/>
              <w:right w:w="30" w:type="dxa"/>
            </w:tcMar>
            <w:vAlign w:val="center"/>
          </w:tcPr>
          <w:p w14:paraId="598888B0">
            <w:pPr>
              <w:jc w:val="center"/>
              <w:rPr>
                <w:rFonts w:hint="default" w:ascii="宋体" w:hAnsi="宋体" w:eastAsia="宋体" w:cs="Times New Roman"/>
                <w:kern w:val="2"/>
                <w:sz w:val="21"/>
                <w:szCs w:val="21"/>
                <w:lang w:val="en-US" w:eastAsia="zh-CN" w:bidi="ar-SA"/>
              </w:rPr>
            </w:pPr>
            <w:r>
              <w:rPr>
                <w:rFonts w:hint="eastAsia" w:ascii="宋体" w:hAnsi="宋体" w:eastAsia="宋体" w:cs="Times New Roman"/>
                <w:kern w:val="2"/>
                <w:sz w:val="21"/>
                <w:szCs w:val="21"/>
                <w:lang w:val="en-US" w:eastAsia="zh-CN" w:bidi="ar-SA"/>
              </w:rPr>
              <w:t>燃料燃烧排放</w:t>
            </w:r>
          </w:p>
        </w:tc>
        <w:tc>
          <w:tcPr>
            <w:tcW w:w="1147" w:type="pct"/>
            <w:shd w:val="clear" w:color="auto" w:fill="auto"/>
            <w:tcMar>
              <w:top w:w="20" w:type="dxa"/>
              <w:left w:w="30" w:type="dxa"/>
              <w:bottom w:w="20" w:type="dxa"/>
              <w:right w:w="30" w:type="dxa"/>
            </w:tcMar>
            <w:vAlign w:val="center"/>
          </w:tcPr>
          <w:p w14:paraId="47B61CCD">
            <w:pPr>
              <w:jc w:val="center"/>
              <w:rPr>
                <w:rFonts w:hint="default" w:ascii="宋体" w:hAnsi="宋体" w:eastAsia="宋体" w:cs="Times New Roman"/>
                <w:color w:val="000000" w:themeColor="text1"/>
                <w:sz w:val="21"/>
                <w:szCs w:val="21"/>
                <w:lang w:val="en-US" w:eastAsia="zh-CN"/>
                <w14:textFill>
                  <w14:solidFill>
                    <w14:schemeClr w14:val="tx1"/>
                  </w14:solidFill>
                </w14:textFill>
              </w:rPr>
            </w:pPr>
            <w:r>
              <w:rPr>
                <w:rFonts w:hint="eastAsia" w:ascii="宋体" w:hAnsi="宋体" w:eastAsia="宋体" w:cs="Times New Roman"/>
                <w:kern w:val="2"/>
                <w:sz w:val="21"/>
                <w:szCs w:val="21"/>
                <w:lang w:val="en-US" w:eastAsia="zh-CN" w:bidi="ar-SA"/>
              </w:rPr>
              <w:t>主要生产系统使用的煤、柴油、重油、煤气、天然气、液化石油气等燃料</w:t>
            </w:r>
          </w:p>
        </w:tc>
        <w:tc>
          <w:tcPr>
            <w:tcW w:w="1104" w:type="pct"/>
            <w:shd w:val="clear" w:color="auto" w:fill="auto"/>
            <w:tcMar>
              <w:top w:w="20" w:type="dxa"/>
              <w:left w:w="30" w:type="dxa"/>
              <w:bottom w:w="20" w:type="dxa"/>
              <w:right w:w="30" w:type="dxa"/>
            </w:tcMar>
            <w:vAlign w:val="center"/>
          </w:tcPr>
          <w:p w14:paraId="4FEDF514">
            <w:pPr>
              <w:jc w:val="center"/>
              <w:rPr>
                <w:rFonts w:hint="default" w:ascii="宋体" w:hAnsi="宋体" w:eastAsia="宋体" w:cs="Times New Roman"/>
                <w:kern w:val="2"/>
                <w:sz w:val="21"/>
                <w:szCs w:val="21"/>
                <w:lang w:val="en-US" w:eastAsia="zh-CN" w:bidi="ar-SA"/>
              </w:rPr>
            </w:pPr>
            <w:r>
              <w:rPr>
                <w:rFonts w:hint="eastAsia" w:ascii="宋体" w:hAnsi="宋体" w:eastAsia="宋体" w:cs="Times New Roman"/>
                <w:kern w:val="2"/>
                <w:sz w:val="21"/>
                <w:szCs w:val="21"/>
                <w:lang w:val="en-US" w:eastAsia="zh-CN" w:bidi="ar-SA"/>
              </w:rPr>
              <w:t>烘干炉、热处理炉的排放烟囱</w:t>
            </w:r>
          </w:p>
        </w:tc>
        <w:tc>
          <w:tcPr>
            <w:tcW w:w="1387" w:type="pct"/>
            <w:shd w:val="clear" w:color="auto" w:fill="auto"/>
            <w:tcMar>
              <w:top w:w="20" w:type="dxa"/>
              <w:bottom w:w="20" w:type="dxa"/>
            </w:tcMar>
            <w:vAlign w:val="center"/>
          </w:tcPr>
          <w:p w14:paraId="2A6FF2AC">
            <w:pPr>
              <w:jc w:val="center"/>
              <w:rPr>
                <w:rFonts w:hint="default" w:ascii="宋体" w:hAnsi="宋体" w:eastAsia="宋体" w:cs="Times New Roman"/>
                <w:kern w:val="2"/>
                <w:sz w:val="21"/>
                <w:szCs w:val="21"/>
                <w:lang w:val="en-US" w:eastAsia="zh-CN" w:bidi="ar-SA"/>
              </w:rPr>
            </w:pPr>
            <w:r>
              <w:rPr>
                <w:rFonts w:hint="eastAsia" w:ascii="宋体" w:hAnsi="宋体" w:eastAsia="宋体" w:cs="Times New Roman"/>
                <w:kern w:val="2"/>
                <w:sz w:val="21"/>
                <w:szCs w:val="21"/>
                <w:lang w:val="en-US" w:eastAsia="zh-CN" w:bidi="ar-SA"/>
              </w:rPr>
              <w:t>烘干炉、热处理炉等</w:t>
            </w:r>
          </w:p>
        </w:tc>
      </w:tr>
      <w:tr w14:paraId="38EF06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10" w:hRule="atLeast"/>
          <w:jc w:val="center"/>
        </w:trPr>
        <w:tc>
          <w:tcPr>
            <w:tcW w:w="247" w:type="pct"/>
            <w:vMerge w:val="continue"/>
            <w:shd w:val="clear" w:color="auto" w:fill="auto"/>
            <w:tcMar>
              <w:top w:w="20" w:type="dxa"/>
              <w:left w:w="30" w:type="dxa"/>
              <w:bottom w:w="20" w:type="dxa"/>
              <w:right w:w="30" w:type="dxa"/>
            </w:tcMar>
            <w:vAlign w:val="center"/>
          </w:tcPr>
          <w:p w14:paraId="40288D2D">
            <w:pPr>
              <w:jc w:val="center"/>
              <w:rPr>
                <w:rFonts w:hint="default" w:ascii="宋体" w:hAnsi="宋体" w:eastAsia="宋体" w:cs="Times New Roman"/>
                <w:kern w:val="2"/>
                <w:sz w:val="21"/>
                <w:szCs w:val="21"/>
                <w:lang w:val="en-US" w:eastAsia="zh-CN" w:bidi="ar-SA"/>
              </w:rPr>
            </w:pPr>
          </w:p>
        </w:tc>
        <w:tc>
          <w:tcPr>
            <w:tcW w:w="374" w:type="pct"/>
            <w:vMerge w:val="continue"/>
            <w:shd w:val="clear" w:color="auto" w:fill="auto"/>
            <w:tcMar>
              <w:top w:w="20" w:type="dxa"/>
              <w:left w:w="30" w:type="dxa"/>
              <w:bottom w:w="20" w:type="dxa"/>
              <w:right w:w="30" w:type="dxa"/>
            </w:tcMar>
            <w:vAlign w:val="center"/>
          </w:tcPr>
          <w:p w14:paraId="39C377C3">
            <w:pPr>
              <w:jc w:val="center"/>
              <w:rPr>
                <w:rFonts w:hint="default" w:ascii="宋体" w:hAnsi="宋体" w:eastAsia="宋体" w:cs="Times New Roman"/>
                <w:kern w:val="2"/>
                <w:sz w:val="21"/>
                <w:szCs w:val="21"/>
                <w:lang w:val="en-US" w:eastAsia="zh-CN" w:bidi="ar-SA"/>
              </w:rPr>
            </w:pPr>
          </w:p>
        </w:tc>
        <w:tc>
          <w:tcPr>
            <w:tcW w:w="737" w:type="pct"/>
            <w:shd w:val="clear" w:color="auto" w:fill="auto"/>
            <w:tcMar>
              <w:top w:w="20" w:type="dxa"/>
              <w:left w:w="30" w:type="dxa"/>
              <w:bottom w:w="20" w:type="dxa"/>
              <w:right w:w="30" w:type="dxa"/>
            </w:tcMar>
            <w:vAlign w:val="center"/>
          </w:tcPr>
          <w:p w14:paraId="71EDD982">
            <w:pPr>
              <w:jc w:val="center"/>
              <w:rPr>
                <w:rFonts w:hint="default" w:ascii="宋体" w:hAnsi="宋体" w:eastAsia="宋体" w:cs="Times New Roman"/>
                <w:kern w:val="2"/>
                <w:sz w:val="21"/>
                <w:szCs w:val="21"/>
                <w:lang w:val="en-US" w:eastAsia="zh-CN" w:bidi="ar-SA"/>
              </w:rPr>
            </w:pPr>
            <w:r>
              <w:rPr>
                <w:rFonts w:hint="eastAsia" w:ascii="宋体" w:hAnsi="宋体" w:eastAsia="宋体" w:cs="Times New Roman"/>
                <w:kern w:val="2"/>
                <w:sz w:val="21"/>
                <w:szCs w:val="21"/>
                <w:lang w:val="en-US" w:eastAsia="zh-CN" w:bidi="ar-SA"/>
              </w:rPr>
              <w:t>过程排放</w:t>
            </w:r>
          </w:p>
        </w:tc>
        <w:tc>
          <w:tcPr>
            <w:tcW w:w="1147" w:type="pct"/>
            <w:shd w:val="clear" w:color="auto" w:fill="auto"/>
            <w:tcMar>
              <w:top w:w="20" w:type="dxa"/>
              <w:left w:w="30" w:type="dxa"/>
              <w:bottom w:w="20" w:type="dxa"/>
              <w:right w:w="30" w:type="dxa"/>
            </w:tcMar>
            <w:vAlign w:val="center"/>
          </w:tcPr>
          <w:p w14:paraId="6EDF1FB0">
            <w:pPr>
              <w:jc w:val="center"/>
              <w:rPr>
                <w:rFonts w:hint="default" w:ascii="宋体" w:hAnsi="宋体" w:eastAsia="宋体" w:cs="Times New Roman"/>
                <w:color w:val="000000" w:themeColor="text1"/>
                <w:sz w:val="21"/>
                <w:szCs w:val="21"/>
                <w14:textFill>
                  <w14:solidFill>
                    <w14:schemeClr w14:val="tx1"/>
                  </w14:solidFill>
                </w14:textFill>
              </w:rPr>
            </w:pPr>
            <w:r>
              <w:rPr>
                <w:rFonts w:hint="eastAsia" w:ascii="宋体" w:hAnsi="宋体" w:eastAsia="宋体" w:cs="Times New Roman"/>
                <w:color w:val="000000" w:themeColor="text1"/>
                <w:sz w:val="21"/>
                <w:szCs w:val="21"/>
                <w14:textFill>
                  <w14:solidFill>
                    <w14:schemeClr w14:val="tx1"/>
                  </w14:solidFill>
                </w14:textFill>
              </w:rPr>
              <w:t>焊接过程中的保护气体或</w:t>
            </w:r>
            <w:r>
              <w:rPr>
                <w:rFonts w:ascii="宋体" w:hAnsi="宋体" w:eastAsia="宋体" w:cs="宋体"/>
                <w:sz w:val="24"/>
                <w:szCs w:val="24"/>
              </w:rPr>
              <w:t>有机溶剂</w:t>
            </w:r>
            <w:r>
              <w:rPr>
                <w:rFonts w:hint="eastAsia" w:ascii="宋体" w:hAnsi="宋体" w:eastAsia="宋体" w:cs="Times New Roman"/>
                <w:color w:val="000000" w:themeColor="text1"/>
                <w:sz w:val="21"/>
                <w:szCs w:val="21"/>
                <w14:textFill>
                  <w14:solidFill>
                    <w14:schemeClr w14:val="tx1"/>
                  </w14:solidFill>
                </w14:textFill>
              </w:rPr>
              <w:t>的化学反应。</w:t>
            </w:r>
          </w:p>
        </w:tc>
        <w:tc>
          <w:tcPr>
            <w:tcW w:w="1104" w:type="pct"/>
            <w:shd w:val="clear" w:color="auto" w:fill="auto"/>
            <w:tcMar>
              <w:top w:w="20" w:type="dxa"/>
              <w:left w:w="30" w:type="dxa"/>
              <w:bottom w:w="20" w:type="dxa"/>
              <w:right w:w="30" w:type="dxa"/>
            </w:tcMar>
            <w:vAlign w:val="center"/>
          </w:tcPr>
          <w:p w14:paraId="09A3654A">
            <w:pPr>
              <w:widowControl/>
              <w:spacing w:line="240" w:lineRule="auto"/>
              <w:jc w:val="center"/>
              <w:textAlignment w:val="auto"/>
              <w:rPr>
                <w:rFonts w:hint="default" w:ascii="Times New Roman" w:hAnsi="Times New Roman" w:cs="Times New Roman"/>
                <w:color w:val="0000FF"/>
                <w:kern w:val="0"/>
                <w:sz w:val="21"/>
                <w:szCs w:val="21"/>
              </w:rPr>
            </w:pPr>
            <w:r>
              <w:rPr>
                <w:rFonts w:ascii="宋体" w:hAnsi="宋体" w:eastAsia="宋体" w:cs="宋体"/>
                <w:sz w:val="21"/>
                <w:szCs w:val="21"/>
              </w:rPr>
              <w:t>焊接</w:t>
            </w:r>
            <w:r>
              <w:rPr>
                <w:rFonts w:hint="eastAsia" w:ascii="宋体" w:hAnsi="宋体" w:eastAsia="宋体" w:cs="宋体"/>
                <w:sz w:val="21"/>
                <w:szCs w:val="21"/>
                <w:lang w:val="en-US" w:eastAsia="zh-CN"/>
              </w:rPr>
              <w:t>及涂装、喷胶工艺</w:t>
            </w:r>
            <w:r>
              <w:rPr>
                <w:rFonts w:ascii="宋体" w:hAnsi="宋体" w:eastAsia="宋体" w:cs="宋体"/>
                <w:sz w:val="21"/>
                <w:szCs w:val="21"/>
              </w:rPr>
              <w:t>等</w:t>
            </w:r>
            <w:r>
              <w:rPr>
                <w:rFonts w:hint="eastAsia" w:ascii="宋体" w:hAnsi="宋体" w:eastAsia="宋体" w:cs="宋体"/>
                <w:sz w:val="21"/>
                <w:szCs w:val="21"/>
              </w:rPr>
              <w:t>工序的无组织排放</w:t>
            </w:r>
          </w:p>
        </w:tc>
        <w:tc>
          <w:tcPr>
            <w:tcW w:w="1387" w:type="pct"/>
            <w:shd w:val="clear" w:color="auto" w:fill="auto"/>
            <w:tcMar>
              <w:top w:w="20" w:type="dxa"/>
              <w:bottom w:w="20" w:type="dxa"/>
            </w:tcMar>
            <w:vAlign w:val="center"/>
          </w:tcPr>
          <w:p w14:paraId="28E57696">
            <w:pPr>
              <w:widowControl/>
              <w:spacing w:line="240" w:lineRule="auto"/>
              <w:jc w:val="center"/>
              <w:textAlignment w:val="auto"/>
              <w:rPr>
                <w:rFonts w:hint="default" w:ascii="Times New Roman" w:hAnsi="Times New Roman" w:cs="Times New Roman" w:eastAsiaTheme="minorEastAsia"/>
                <w:color w:val="0000FF"/>
                <w:kern w:val="0"/>
                <w:sz w:val="21"/>
                <w:szCs w:val="21"/>
                <w:lang w:val="en-US" w:eastAsia="zh-CN"/>
              </w:rPr>
            </w:pPr>
            <w:r>
              <w:rPr>
                <w:rFonts w:hint="eastAsia" w:ascii="宋体" w:hAnsi="宋体" w:eastAsia="宋体" w:cs="宋体"/>
                <w:sz w:val="21"/>
                <w:szCs w:val="21"/>
                <w:lang w:val="en-US" w:eastAsia="zh-CN"/>
              </w:rPr>
              <w:t>焊接机、涂装房、脱模剂、密封胶等</w:t>
            </w:r>
          </w:p>
        </w:tc>
      </w:tr>
      <w:tr w14:paraId="08D85B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10" w:hRule="atLeast"/>
          <w:jc w:val="center"/>
        </w:trPr>
        <w:tc>
          <w:tcPr>
            <w:tcW w:w="247" w:type="pct"/>
            <w:vMerge w:val="continue"/>
            <w:shd w:val="clear" w:color="auto" w:fill="auto"/>
            <w:tcMar>
              <w:top w:w="20" w:type="dxa"/>
              <w:left w:w="30" w:type="dxa"/>
              <w:bottom w:w="20" w:type="dxa"/>
              <w:right w:w="30" w:type="dxa"/>
            </w:tcMar>
            <w:vAlign w:val="center"/>
          </w:tcPr>
          <w:p w14:paraId="1C843B90">
            <w:pPr>
              <w:widowControl/>
              <w:spacing w:line="240" w:lineRule="auto"/>
              <w:jc w:val="center"/>
              <w:textAlignment w:val="auto"/>
              <w:rPr>
                <w:rFonts w:hint="default" w:ascii="宋体" w:hAnsi="宋体" w:eastAsia="宋体" w:cs="Times New Roman"/>
                <w:kern w:val="2"/>
                <w:sz w:val="21"/>
                <w:szCs w:val="21"/>
                <w:lang w:val="en-US" w:eastAsia="zh-CN" w:bidi="ar-SA"/>
              </w:rPr>
            </w:pPr>
          </w:p>
        </w:tc>
        <w:tc>
          <w:tcPr>
            <w:tcW w:w="374" w:type="pct"/>
            <w:vMerge w:val="continue"/>
            <w:shd w:val="clear" w:color="auto" w:fill="auto"/>
            <w:tcMar>
              <w:top w:w="20" w:type="dxa"/>
              <w:left w:w="30" w:type="dxa"/>
              <w:bottom w:w="20" w:type="dxa"/>
              <w:right w:w="30" w:type="dxa"/>
            </w:tcMar>
            <w:vAlign w:val="center"/>
          </w:tcPr>
          <w:p w14:paraId="21547C3B">
            <w:pPr>
              <w:widowControl/>
              <w:spacing w:line="240" w:lineRule="auto"/>
              <w:jc w:val="center"/>
              <w:textAlignment w:val="auto"/>
              <w:rPr>
                <w:rFonts w:hint="default" w:ascii="宋体" w:hAnsi="宋体" w:eastAsia="宋体" w:cs="Times New Roman"/>
                <w:kern w:val="2"/>
                <w:sz w:val="21"/>
                <w:szCs w:val="21"/>
                <w:lang w:val="en-US" w:eastAsia="zh-CN" w:bidi="ar-SA"/>
              </w:rPr>
            </w:pPr>
          </w:p>
        </w:tc>
        <w:tc>
          <w:tcPr>
            <w:tcW w:w="737" w:type="pct"/>
            <w:shd w:val="clear" w:color="auto" w:fill="auto"/>
            <w:tcMar>
              <w:top w:w="20" w:type="dxa"/>
              <w:left w:w="30" w:type="dxa"/>
              <w:bottom w:w="20" w:type="dxa"/>
              <w:right w:w="30" w:type="dxa"/>
            </w:tcMar>
            <w:vAlign w:val="center"/>
          </w:tcPr>
          <w:p w14:paraId="65F55726">
            <w:pPr>
              <w:pStyle w:val="47"/>
              <w:ind w:right="210" w:rightChars="0" w:firstLine="0" w:firstLineChars="0"/>
              <w:jc w:val="both"/>
              <w:rPr>
                <w:rFonts w:hint="default" w:ascii="宋体" w:hAnsi="宋体" w:eastAsia="宋体" w:cs="Times New Roman"/>
                <w:kern w:val="2"/>
                <w:sz w:val="21"/>
                <w:szCs w:val="21"/>
                <w:lang w:val="en-US" w:eastAsia="zh-CN" w:bidi="ar-SA"/>
              </w:rPr>
            </w:pPr>
            <w:r>
              <w:rPr>
                <w:rFonts w:hint="eastAsia" w:ascii="宋体" w:hAnsi="宋体" w:eastAsia="宋体" w:cs="Times New Roman"/>
                <w:kern w:val="2"/>
                <w:sz w:val="21"/>
                <w:szCs w:val="21"/>
                <w:lang w:val="en-US" w:eastAsia="zh-CN" w:bidi="ar-SA"/>
              </w:rPr>
              <w:t>购入电力和热力产生的排放</w:t>
            </w:r>
          </w:p>
        </w:tc>
        <w:tc>
          <w:tcPr>
            <w:tcW w:w="1147" w:type="pct"/>
            <w:shd w:val="clear" w:color="auto" w:fill="auto"/>
            <w:tcMar>
              <w:top w:w="20" w:type="dxa"/>
              <w:left w:w="30" w:type="dxa"/>
              <w:bottom w:w="20" w:type="dxa"/>
              <w:right w:w="30" w:type="dxa"/>
            </w:tcMar>
            <w:vAlign w:val="center"/>
          </w:tcPr>
          <w:p w14:paraId="4014EFF7">
            <w:pPr>
              <w:pStyle w:val="47"/>
              <w:ind w:right="210" w:rightChars="0" w:firstLine="0" w:firstLineChars="0"/>
              <w:jc w:val="left"/>
              <w:rPr>
                <w:rFonts w:hint="default" w:ascii="Times New Roman" w:hAnsi="Times New Roman" w:cs="Times New Roman"/>
                <w:color w:val="0000FF"/>
                <w:kern w:val="0"/>
                <w:sz w:val="21"/>
                <w:szCs w:val="21"/>
              </w:rPr>
            </w:pPr>
            <w:r>
              <w:rPr>
                <w:rFonts w:hint="eastAsia" w:hAnsi="宋体"/>
                <w:kern w:val="2"/>
                <w:sz w:val="21"/>
                <w:szCs w:val="21"/>
                <w:lang w:val="en-US" w:eastAsia="zh-CN"/>
              </w:rPr>
              <w:t>直接</w:t>
            </w:r>
            <w:r>
              <w:rPr>
                <w:rFonts w:hint="eastAsia" w:hAnsi="宋体"/>
                <w:kern w:val="2"/>
                <w:sz w:val="21"/>
                <w:szCs w:val="21"/>
              </w:rPr>
              <w:t>生产系统购入电力和热力</w:t>
            </w:r>
          </w:p>
        </w:tc>
        <w:tc>
          <w:tcPr>
            <w:tcW w:w="1104" w:type="pct"/>
            <w:shd w:val="clear" w:color="auto" w:fill="auto"/>
            <w:tcMar>
              <w:top w:w="20" w:type="dxa"/>
              <w:left w:w="30" w:type="dxa"/>
              <w:bottom w:w="20" w:type="dxa"/>
              <w:right w:w="30" w:type="dxa"/>
            </w:tcMar>
            <w:vAlign w:val="center"/>
          </w:tcPr>
          <w:p w14:paraId="414AFE81">
            <w:pPr>
              <w:pStyle w:val="47"/>
              <w:ind w:right="210" w:rightChars="0" w:firstLine="0" w:firstLineChars="0"/>
              <w:jc w:val="center"/>
              <w:rPr>
                <w:rFonts w:hint="default" w:ascii="Times New Roman" w:hAnsi="Times New Roman" w:cs="Times New Roman"/>
                <w:color w:val="0000FF"/>
                <w:kern w:val="0"/>
                <w:sz w:val="21"/>
                <w:szCs w:val="21"/>
              </w:rPr>
            </w:pPr>
            <w:r>
              <w:rPr>
                <w:rFonts w:hint="eastAsia" w:hAnsi="宋体"/>
                <w:kern w:val="2"/>
                <w:sz w:val="21"/>
                <w:szCs w:val="21"/>
              </w:rPr>
              <w:t>分摊排放</w:t>
            </w:r>
          </w:p>
        </w:tc>
        <w:tc>
          <w:tcPr>
            <w:tcW w:w="1387" w:type="pct"/>
            <w:shd w:val="clear" w:color="auto" w:fill="auto"/>
            <w:tcMar>
              <w:top w:w="20" w:type="dxa"/>
              <w:bottom w:w="20" w:type="dxa"/>
            </w:tcMar>
            <w:vAlign w:val="center"/>
          </w:tcPr>
          <w:p w14:paraId="4AEAEF4A">
            <w:pPr>
              <w:widowControl/>
              <w:spacing w:line="240" w:lineRule="auto"/>
              <w:jc w:val="center"/>
              <w:textAlignment w:val="auto"/>
              <w:rPr>
                <w:rFonts w:hint="default" w:ascii="Times New Roman" w:hAnsi="Times New Roman" w:cs="Times New Roman"/>
                <w:color w:val="0000FF"/>
                <w:kern w:val="0"/>
                <w:sz w:val="21"/>
                <w:szCs w:val="21"/>
              </w:rPr>
            </w:pPr>
            <w:r>
              <w:rPr>
                <w:rFonts w:hint="eastAsia" w:ascii="宋体" w:hAnsi="宋体" w:eastAsia="宋体" w:cs="Times New Roman"/>
                <w:kern w:val="2"/>
                <w:sz w:val="21"/>
                <w:szCs w:val="21"/>
                <w:lang w:val="en-US" w:eastAsia="zh-CN" w:bidi="ar-SA"/>
              </w:rPr>
              <w:t>原燃料预处理、装配与加工、加热与热处理等系统中用电或用热设备（钢筋调直机、钢材切割机、退火炉、淬火炉、车床、铣床等加工设备等）</w:t>
            </w:r>
          </w:p>
        </w:tc>
      </w:tr>
      <w:tr w14:paraId="6C3BB3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10" w:hRule="atLeast"/>
          <w:jc w:val="center"/>
        </w:trPr>
        <w:tc>
          <w:tcPr>
            <w:tcW w:w="247" w:type="pct"/>
            <w:vMerge w:val="restart"/>
            <w:shd w:val="clear" w:color="auto" w:fill="auto"/>
            <w:tcMar>
              <w:top w:w="20" w:type="dxa"/>
              <w:left w:w="30" w:type="dxa"/>
              <w:bottom w:w="20" w:type="dxa"/>
              <w:right w:w="30" w:type="dxa"/>
            </w:tcMar>
            <w:vAlign w:val="center"/>
          </w:tcPr>
          <w:p w14:paraId="6323A106">
            <w:pPr>
              <w:widowControl/>
              <w:spacing w:line="240" w:lineRule="auto"/>
              <w:jc w:val="center"/>
              <w:textAlignment w:val="auto"/>
              <w:rPr>
                <w:rFonts w:hint="eastAsia" w:ascii="宋体" w:hAnsi="宋体" w:eastAsia="宋体" w:cs="Times New Roman"/>
                <w:kern w:val="2"/>
                <w:sz w:val="21"/>
                <w:szCs w:val="21"/>
                <w:lang w:val="en-US" w:eastAsia="zh-CN" w:bidi="ar-SA"/>
              </w:rPr>
            </w:pPr>
            <w:r>
              <w:rPr>
                <w:rFonts w:hint="eastAsia" w:ascii="宋体" w:hAnsi="宋体" w:eastAsia="宋体" w:cs="Times New Roman"/>
                <w:kern w:val="2"/>
                <w:sz w:val="21"/>
                <w:szCs w:val="21"/>
                <w:lang w:val="en-US" w:eastAsia="zh-CN" w:bidi="ar-SA"/>
              </w:rPr>
              <w:t>2</w:t>
            </w:r>
          </w:p>
        </w:tc>
        <w:tc>
          <w:tcPr>
            <w:tcW w:w="374" w:type="pct"/>
            <w:vMerge w:val="restart"/>
            <w:shd w:val="clear" w:color="auto" w:fill="auto"/>
            <w:tcMar>
              <w:top w:w="20" w:type="dxa"/>
              <w:left w:w="30" w:type="dxa"/>
              <w:bottom w:w="20" w:type="dxa"/>
              <w:right w:w="30" w:type="dxa"/>
            </w:tcMar>
            <w:vAlign w:val="center"/>
          </w:tcPr>
          <w:p w14:paraId="7C0900B3">
            <w:pPr>
              <w:widowControl/>
              <w:spacing w:line="240" w:lineRule="auto"/>
              <w:jc w:val="center"/>
              <w:textAlignment w:val="auto"/>
              <w:rPr>
                <w:rFonts w:hint="eastAsia" w:ascii="宋体" w:hAnsi="宋体" w:eastAsia="宋体" w:cs="Times New Roman"/>
                <w:kern w:val="2"/>
                <w:sz w:val="21"/>
                <w:szCs w:val="21"/>
                <w:lang w:val="en-US" w:eastAsia="zh-CN" w:bidi="ar-SA"/>
              </w:rPr>
            </w:pPr>
            <w:r>
              <w:rPr>
                <w:rFonts w:hint="eastAsia" w:ascii="宋体" w:hAnsi="宋体" w:eastAsia="宋体" w:cs="Times New Roman"/>
                <w:kern w:val="2"/>
                <w:sz w:val="21"/>
                <w:szCs w:val="21"/>
                <w:lang w:val="en-US" w:eastAsia="zh-CN" w:bidi="ar-SA"/>
              </w:rPr>
              <w:t>辅助生产系统</w:t>
            </w:r>
          </w:p>
        </w:tc>
        <w:tc>
          <w:tcPr>
            <w:tcW w:w="737" w:type="pct"/>
            <w:shd w:val="clear" w:color="auto" w:fill="auto"/>
            <w:tcMar>
              <w:top w:w="20" w:type="dxa"/>
              <w:left w:w="30" w:type="dxa"/>
              <w:bottom w:w="20" w:type="dxa"/>
              <w:right w:w="30" w:type="dxa"/>
            </w:tcMar>
            <w:vAlign w:val="center"/>
          </w:tcPr>
          <w:p w14:paraId="1862940E">
            <w:pPr>
              <w:pStyle w:val="47"/>
              <w:ind w:right="210" w:rightChars="0" w:firstLine="0" w:firstLineChars="0"/>
              <w:jc w:val="both"/>
              <w:rPr>
                <w:rFonts w:hint="default" w:ascii="宋体" w:hAnsi="宋体" w:eastAsia="宋体" w:cs="Times New Roman"/>
                <w:kern w:val="2"/>
                <w:sz w:val="21"/>
                <w:szCs w:val="21"/>
                <w:lang w:val="en-US" w:eastAsia="zh-CN" w:bidi="ar-SA"/>
              </w:rPr>
            </w:pPr>
            <w:r>
              <w:rPr>
                <w:rFonts w:hint="eastAsia" w:ascii="宋体" w:hAnsi="宋体" w:eastAsia="宋体" w:cs="Times New Roman"/>
                <w:kern w:val="2"/>
                <w:sz w:val="21"/>
                <w:szCs w:val="21"/>
                <w:lang w:val="en-US" w:eastAsia="zh-CN" w:bidi="ar-SA"/>
              </w:rPr>
              <w:t>燃料燃烧排放</w:t>
            </w:r>
          </w:p>
        </w:tc>
        <w:tc>
          <w:tcPr>
            <w:tcW w:w="1147" w:type="pct"/>
            <w:shd w:val="clear" w:color="auto" w:fill="auto"/>
            <w:tcMar>
              <w:top w:w="20" w:type="dxa"/>
              <w:left w:w="30" w:type="dxa"/>
              <w:bottom w:w="20" w:type="dxa"/>
              <w:right w:w="30" w:type="dxa"/>
            </w:tcMar>
            <w:vAlign w:val="center"/>
          </w:tcPr>
          <w:p w14:paraId="3A75824C">
            <w:pPr>
              <w:pStyle w:val="47"/>
              <w:ind w:right="210" w:rightChars="0" w:firstLine="0" w:firstLineChars="0"/>
              <w:jc w:val="both"/>
              <w:rPr>
                <w:rFonts w:hint="default" w:ascii="宋体" w:hAnsi="宋体" w:eastAsia="宋体" w:cs="Times New Roman"/>
                <w:kern w:val="2"/>
                <w:sz w:val="21"/>
                <w:szCs w:val="21"/>
                <w:lang w:val="en-US" w:eastAsia="zh-CN" w:bidi="ar-SA"/>
              </w:rPr>
            </w:pPr>
            <w:r>
              <w:rPr>
                <w:rFonts w:hint="eastAsia" w:ascii="宋体" w:hAnsi="宋体" w:eastAsia="宋体" w:cs="Times New Roman"/>
                <w:kern w:val="2"/>
                <w:sz w:val="21"/>
                <w:szCs w:val="21"/>
                <w:lang w:val="en-US" w:eastAsia="zh-CN" w:bidi="ar-SA"/>
              </w:rPr>
              <w:t>辅助生产系统使用的煤炭、天然气、燃油、汽油等燃料</w:t>
            </w:r>
          </w:p>
        </w:tc>
        <w:tc>
          <w:tcPr>
            <w:tcW w:w="1104" w:type="pct"/>
            <w:shd w:val="clear" w:color="auto" w:fill="auto"/>
            <w:tcMar>
              <w:top w:w="20" w:type="dxa"/>
              <w:left w:w="30" w:type="dxa"/>
              <w:bottom w:w="20" w:type="dxa"/>
              <w:right w:w="30" w:type="dxa"/>
            </w:tcMar>
            <w:vAlign w:val="center"/>
          </w:tcPr>
          <w:p w14:paraId="618197D0">
            <w:pPr>
              <w:pStyle w:val="47"/>
              <w:ind w:right="210" w:rightChars="0" w:firstLine="0" w:firstLineChars="0"/>
              <w:jc w:val="center"/>
              <w:rPr>
                <w:rFonts w:hint="default" w:ascii="宋体" w:hAnsi="宋体" w:eastAsia="宋体" w:cs="Times New Roman"/>
                <w:kern w:val="2"/>
                <w:sz w:val="21"/>
                <w:szCs w:val="21"/>
                <w:lang w:val="en-US" w:eastAsia="zh-CN" w:bidi="ar-SA"/>
              </w:rPr>
            </w:pPr>
            <w:r>
              <w:rPr>
                <w:rFonts w:hint="eastAsia" w:ascii="宋体" w:hAnsi="宋体" w:eastAsia="宋体" w:cs="Times New Roman"/>
                <w:kern w:val="2"/>
                <w:sz w:val="21"/>
                <w:szCs w:val="21"/>
                <w:lang w:val="en-US" w:eastAsia="zh-CN" w:bidi="ar-SA"/>
              </w:rPr>
              <w:t>运输过程中的</w:t>
            </w:r>
            <w:r>
              <w:rPr>
                <w:rFonts w:hint="eastAsia" w:hAnsi="宋体" w:cs="Times New Roman"/>
                <w:kern w:val="2"/>
                <w:sz w:val="21"/>
                <w:szCs w:val="21"/>
                <w:lang w:val="en-US" w:eastAsia="zh-CN" w:bidi="ar-SA"/>
              </w:rPr>
              <w:t>燃料消耗</w:t>
            </w:r>
          </w:p>
        </w:tc>
        <w:tc>
          <w:tcPr>
            <w:tcW w:w="1387" w:type="pct"/>
            <w:shd w:val="clear" w:color="auto" w:fill="auto"/>
            <w:tcMar>
              <w:top w:w="20" w:type="dxa"/>
              <w:bottom w:w="20" w:type="dxa"/>
            </w:tcMar>
            <w:vAlign w:val="center"/>
          </w:tcPr>
          <w:p w14:paraId="65C4AF45">
            <w:pPr>
              <w:pStyle w:val="47"/>
              <w:ind w:right="210" w:rightChars="0" w:firstLine="0" w:firstLineChars="0"/>
              <w:jc w:val="both"/>
              <w:rPr>
                <w:rFonts w:hint="default" w:ascii="宋体" w:hAnsi="宋体" w:eastAsia="宋体" w:cs="Times New Roman"/>
                <w:kern w:val="2"/>
                <w:sz w:val="21"/>
                <w:szCs w:val="21"/>
                <w:lang w:val="en-US" w:eastAsia="zh-CN" w:bidi="ar-SA"/>
              </w:rPr>
            </w:pPr>
            <w:r>
              <w:rPr>
                <w:rFonts w:hint="eastAsia" w:ascii="宋体" w:hAnsi="宋体" w:eastAsia="宋体" w:cs="Times New Roman"/>
                <w:kern w:val="2"/>
                <w:sz w:val="21"/>
                <w:szCs w:val="21"/>
                <w:lang w:val="en-US" w:eastAsia="zh-CN" w:bidi="ar-SA"/>
              </w:rPr>
              <w:t>内部运输车辆等</w:t>
            </w:r>
          </w:p>
        </w:tc>
      </w:tr>
      <w:tr w14:paraId="5BFC05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10" w:hRule="atLeast"/>
          <w:jc w:val="center"/>
        </w:trPr>
        <w:tc>
          <w:tcPr>
            <w:tcW w:w="247" w:type="pct"/>
            <w:vMerge w:val="continue"/>
            <w:shd w:val="clear" w:color="auto" w:fill="auto"/>
            <w:tcMar>
              <w:top w:w="20" w:type="dxa"/>
              <w:left w:w="30" w:type="dxa"/>
              <w:bottom w:w="20" w:type="dxa"/>
              <w:right w:w="30" w:type="dxa"/>
            </w:tcMar>
            <w:vAlign w:val="center"/>
          </w:tcPr>
          <w:p w14:paraId="1953FE80">
            <w:pPr>
              <w:widowControl/>
              <w:spacing w:line="240" w:lineRule="auto"/>
              <w:jc w:val="center"/>
              <w:textAlignment w:val="auto"/>
              <w:rPr>
                <w:rFonts w:hint="default" w:ascii="宋体" w:hAnsi="宋体" w:eastAsia="宋体" w:cs="Times New Roman"/>
                <w:kern w:val="2"/>
                <w:sz w:val="21"/>
                <w:szCs w:val="21"/>
                <w:lang w:val="en-US" w:eastAsia="zh-CN" w:bidi="ar-SA"/>
              </w:rPr>
            </w:pPr>
          </w:p>
        </w:tc>
        <w:tc>
          <w:tcPr>
            <w:tcW w:w="374" w:type="pct"/>
            <w:vMerge w:val="continue"/>
            <w:shd w:val="clear" w:color="auto" w:fill="auto"/>
            <w:tcMar>
              <w:top w:w="20" w:type="dxa"/>
              <w:left w:w="30" w:type="dxa"/>
              <w:bottom w:w="20" w:type="dxa"/>
              <w:right w:w="30" w:type="dxa"/>
            </w:tcMar>
            <w:vAlign w:val="center"/>
          </w:tcPr>
          <w:p w14:paraId="6D60299F">
            <w:pPr>
              <w:widowControl/>
              <w:spacing w:line="240" w:lineRule="auto"/>
              <w:jc w:val="center"/>
              <w:textAlignment w:val="auto"/>
              <w:rPr>
                <w:rFonts w:hint="default" w:ascii="宋体" w:hAnsi="宋体" w:eastAsia="宋体" w:cs="Times New Roman"/>
                <w:kern w:val="2"/>
                <w:sz w:val="21"/>
                <w:szCs w:val="21"/>
                <w:lang w:val="en-US" w:eastAsia="zh-CN" w:bidi="ar-SA"/>
              </w:rPr>
            </w:pPr>
          </w:p>
        </w:tc>
        <w:tc>
          <w:tcPr>
            <w:tcW w:w="737" w:type="pct"/>
            <w:shd w:val="clear" w:color="auto" w:fill="auto"/>
            <w:tcMar>
              <w:top w:w="20" w:type="dxa"/>
              <w:left w:w="30" w:type="dxa"/>
              <w:bottom w:w="20" w:type="dxa"/>
              <w:right w:w="30" w:type="dxa"/>
            </w:tcMar>
            <w:vAlign w:val="center"/>
          </w:tcPr>
          <w:p w14:paraId="56F34636">
            <w:pPr>
              <w:pStyle w:val="47"/>
              <w:ind w:right="210" w:rightChars="0" w:firstLine="0" w:firstLineChars="0"/>
              <w:jc w:val="both"/>
              <w:rPr>
                <w:rFonts w:hint="default" w:ascii="宋体" w:hAnsi="宋体" w:eastAsia="宋体" w:cs="Times New Roman"/>
                <w:kern w:val="2"/>
                <w:sz w:val="21"/>
                <w:szCs w:val="21"/>
                <w:lang w:val="en-US" w:eastAsia="zh-CN" w:bidi="ar-SA"/>
              </w:rPr>
            </w:pPr>
            <w:r>
              <w:rPr>
                <w:rFonts w:hint="eastAsia" w:ascii="宋体" w:hAnsi="宋体" w:eastAsia="宋体" w:cs="Times New Roman"/>
                <w:kern w:val="2"/>
                <w:sz w:val="21"/>
                <w:szCs w:val="21"/>
                <w:lang w:val="en-US" w:eastAsia="zh-CN" w:bidi="ar-SA"/>
              </w:rPr>
              <w:t>购入电力和热力产生的排放</w:t>
            </w:r>
          </w:p>
        </w:tc>
        <w:tc>
          <w:tcPr>
            <w:tcW w:w="1147" w:type="pct"/>
            <w:shd w:val="clear" w:color="auto" w:fill="auto"/>
            <w:tcMar>
              <w:top w:w="20" w:type="dxa"/>
              <w:left w:w="30" w:type="dxa"/>
              <w:bottom w:w="20" w:type="dxa"/>
              <w:right w:w="30" w:type="dxa"/>
            </w:tcMar>
            <w:vAlign w:val="center"/>
          </w:tcPr>
          <w:p w14:paraId="5D8E6A2D">
            <w:pPr>
              <w:pStyle w:val="47"/>
              <w:ind w:right="210" w:rightChars="0" w:firstLine="0" w:firstLineChars="0"/>
              <w:jc w:val="both"/>
              <w:rPr>
                <w:rFonts w:hint="default" w:ascii="宋体" w:hAnsi="宋体" w:eastAsia="宋体" w:cs="Times New Roman"/>
                <w:kern w:val="2"/>
                <w:sz w:val="21"/>
                <w:szCs w:val="21"/>
                <w:lang w:val="en-US" w:eastAsia="zh-CN" w:bidi="ar-SA"/>
              </w:rPr>
            </w:pPr>
            <w:r>
              <w:rPr>
                <w:rFonts w:hint="eastAsia" w:ascii="宋体" w:hAnsi="宋体" w:eastAsia="宋体" w:cs="Times New Roman"/>
                <w:kern w:val="2"/>
                <w:sz w:val="21"/>
                <w:szCs w:val="21"/>
                <w:lang w:val="en-US" w:eastAsia="zh-CN" w:bidi="ar-SA"/>
              </w:rPr>
              <w:t>辅助生产系统购入电力和热力</w:t>
            </w:r>
          </w:p>
        </w:tc>
        <w:tc>
          <w:tcPr>
            <w:tcW w:w="1104" w:type="pct"/>
            <w:shd w:val="clear" w:color="auto" w:fill="auto"/>
            <w:tcMar>
              <w:top w:w="20" w:type="dxa"/>
              <w:left w:w="30" w:type="dxa"/>
              <w:bottom w:w="20" w:type="dxa"/>
              <w:right w:w="30" w:type="dxa"/>
            </w:tcMar>
            <w:vAlign w:val="center"/>
          </w:tcPr>
          <w:p w14:paraId="4052F585">
            <w:pPr>
              <w:pStyle w:val="47"/>
              <w:ind w:right="210" w:rightChars="0" w:firstLine="0" w:firstLineChars="0"/>
              <w:jc w:val="center"/>
              <w:rPr>
                <w:rFonts w:hint="default" w:ascii="宋体" w:hAnsi="宋体" w:eastAsia="宋体" w:cs="Times New Roman"/>
                <w:kern w:val="2"/>
                <w:sz w:val="21"/>
                <w:szCs w:val="21"/>
                <w:lang w:val="en-US" w:eastAsia="zh-CN" w:bidi="ar-SA"/>
              </w:rPr>
            </w:pPr>
            <w:r>
              <w:rPr>
                <w:rFonts w:hint="eastAsia" w:ascii="宋体" w:hAnsi="宋体" w:eastAsia="宋体" w:cs="Times New Roman"/>
                <w:kern w:val="2"/>
                <w:sz w:val="21"/>
                <w:szCs w:val="21"/>
                <w:lang w:val="en-US" w:eastAsia="zh-CN" w:bidi="ar-SA"/>
              </w:rPr>
              <w:t>分摊排放</w:t>
            </w:r>
          </w:p>
        </w:tc>
        <w:tc>
          <w:tcPr>
            <w:tcW w:w="1387" w:type="pct"/>
            <w:shd w:val="clear" w:color="auto" w:fill="auto"/>
            <w:tcMar>
              <w:top w:w="20" w:type="dxa"/>
              <w:bottom w:w="20" w:type="dxa"/>
            </w:tcMar>
            <w:vAlign w:val="center"/>
          </w:tcPr>
          <w:p w14:paraId="0E1BD196">
            <w:pPr>
              <w:pStyle w:val="47"/>
              <w:ind w:right="210" w:rightChars="0" w:firstLine="0" w:firstLineChars="0"/>
              <w:jc w:val="both"/>
              <w:rPr>
                <w:rFonts w:hint="default" w:ascii="宋体" w:hAnsi="宋体" w:eastAsia="宋体" w:cs="Times New Roman"/>
                <w:kern w:val="2"/>
                <w:sz w:val="21"/>
                <w:szCs w:val="21"/>
                <w:lang w:val="en-US" w:eastAsia="zh-CN" w:bidi="ar-SA"/>
              </w:rPr>
            </w:pPr>
            <w:r>
              <w:rPr>
                <w:rFonts w:hint="eastAsia" w:ascii="宋体" w:hAnsi="宋体" w:eastAsia="宋体" w:cs="Times New Roman"/>
                <w:kern w:val="2"/>
                <w:sz w:val="21"/>
                <w:szCs w:val="21"/>
                <w:lang w:val="en-US" w:eastAsia="zh-CN" w:bidi="ar-SA"/>
              </w:rPr>
              <w:t>水泵、空压机、机修设备等</w:t>
            </w:r>
          </w:p>
        </w:tc>
      </w:tr>
      <w:tr w14:paraId="09DDAF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10" w:hRule="atLeast"/>
          <w:jc w:val="center"/>
        </w:trPr>
        <w:tc>
          <w:tcPr>
            <w:tcW w:w="247" w:type="pct"/>
            <w:vMerge w:val="restart"/>
            <w:shd w:val="clear" w:color="auto" w:fill="auto"/>
            <w:tcMar>
              <w:top w:w="20" w:type="dxa"/>
              <w:left w:w="30" w:type="dxa"/>
              <w:bottom w:w="20" w:type="dxa"/>
              <w:right w:w="30" w:type="dxa"/>
            </w:tcMar>
            <w:vAlign w:val="center"/>
          </w:tcPr>
          <w:p w14:paraId="5B5D9ABD">
            <w:pPr>
              <w:widowControl/>
              <w:spacing w:line="240" w:lineRule="auto"/>
              <w:jc w:val="center"/>
              <w:textAlignment w:val="auto"/>
              <w:rPr>
                <w:rFonts w:hint="eastAsia" w:ascii="宋体" w:hAnsi="宋体" w:eastAsia="宋体" w:cs="Times New Roman"/>
                <w:kern w:val="2"/>
                <w:sz w:val="21"/>
                <w:szCs w:val="21"/>
                <w:lang w:val="en-US" w:eastAsia="zh-CN" w:bidi="ar-SA"/>
              </w:rPr>
            </w:pPr>
            <w:r>
              <w:rPr>
                <w:rFonts w:hint="eastAsia" w:ascii="宋体" w:hAnsi="宋体" w:eastAsia="宋体" w:cs="Times New Roman"/>
                <w:kern w:val="2"/>
                <w:sz w:val="21"/>
                <w:szCs w:val="21"/>
                <w:lang w:val="en-US" w:eastAsia="zh-CN" w:bidi="ar-SA"/>
              </w:rPr>
              <w:t>3</w:t>
            </w:r>
          </w:p>
        </w:tc>
        <w:tc>
          <w:tcPr>
            <w:tcW w:w="374" w:type="pct"/>
            <w:vMerge w:val="restart"/>
            <w:shd w:val="clear" w:color="auto" w:fill="auto"/>
            <w:tcMar>
              <w:top w:w="20" w:type="dxa"/>
              <w:left w:w="30" w:type="dxa"/>
              <w:bottom w:w="20" w:type="dxa"/>
              <w:right w:w="30" w:type="dxa"/>
            </w:tcMar>
            <w:vAlign w:val="center"/>
          </w:tcPr>
          <w:p w14:paraId="0A99C6D2">
            <w:pPr>
              <w:widowControl/>
              <w:spacing w:line="240" w:lineRule="auto"/>
              <w:jc w:val="center"/>
              <w:textAlignment w:val="auto"/>
              <w:rPr>
                <w:rFonts w:hint="default" w:ascii="宋体" w:hAnsi="宋体" w:eastAsia="宋体" w:cs="Times New Roman"/>
                <w:kern w:val="2"/>
                <w:sz w:val="21"/>
                <w:szCs w:val="21"/>
                <w:lang w:val="en-US" w:eastAsia="zh-CN" w:bidi="ar-SA"/>
              </w:rPr>
            </w:pPr>
            <w:r>
              <w:rPr>
                <w:rFonts w:hint="eastAsia" w:ascii="宋体" w:hAnsi="宋体" w:eastAsia="宋体" w:cs="Times New Roman"/>
                <w:kern w:val="2"/>
                <w:sz w:val="21"/>
                <w:szCs w:val="21"/>
                <w:lang w:val="en-US" w:eastAsia="zh-CN" w:bidi="ar-SA"/>
              </w:rPr>
              <w:t>附属生产系统</w:t>
            </w:r>
          </w:p>
        </w:tc>
        <w:tc>
          <w:tcPr>
            <w:tcW w:w="737" w:type="pct"/>
            <w:shd w:val="clear" w:color="auto" w:fill="auto"/>
            <w:tcMar>
              <w:top w:w="20" w:type="dxa"/>
              <w:left w:w="30" w:type="dxa"/>
              <w:bottom w:w="20" w:type="dxa"/>
              <w:right w:w="30" w:type="dxa"/>
            </w:tcMar>
            <w:vAlign w:val="center"/>
          </w:tcPr>
          <w:p w14:paraId="688603F7">
            <w:pPr>
              <w:pStyle w:val="47"/>
              <w:ind w:right="210" w:rightChars="0" w:firstLine="0" w:firstLineChars="0"/>
              <w:jc w:val="both"/>
              <w:rPr>
                <w:rFonts w:hint="default" w:ascii="宋体" w:hAnsi="宋体" w:eastAsia="宋体" w:cs="Times New Roman"/>
                <w:kern w:val="2"/>
                <w:sz w:val="21"/>
                <w:szCs w:val="21"/>
                <w:lang w:val="en-US" w:eastAsia="zh-CN" w:bidi="ar-SA"/>
              </w:rPr>
            </w:pPr>
            <w:r>
              <w:rPr>
                <w:rFonts w:hint="eastAsia" w:ascii="宋体" w:hAnsi="宋体" w:eastAsia="宋体" w:cs="Times New Roman"/>
                <w:kern w:val="2"/>
                <w:sz w:val="21"/>
                <w:szCs w:val="21"/>
                <w:lang w:val="en-US" w:eastAsia="zh-CN" w:bidi="ar-SA"/>
              </w:rPr>
              <w:t>燃料燃烧排放</w:t>
            </w:r>
          </w:p>
        </w:tc>
        <w:tc>
          <w:tcPr>
            <w:tcW w:w="1147" w:type="pct"/>
            <w:shd w:val="clear" w:color="auto" w:fill="auto"/>
            <w:tcMar>
              <w:top w:w="20" w:type="dxa"/>
              <w:left w:w="30" w:type="dxa"/>
              <w:bottom w:w="20" w:type="dxa"/>
              <w:right w:w="30" w:type="dxa"/>
            </w:tcMar>
            <w:vAlign w:val="center"/>
          </w:tcPr>
          <w:p w14:paraId="2A9308B7">
            <w:pPr>
              <w:pStyle w:val="47"/>
              <w:ind w:right="210" w:rightChars="0" w:firstLine="0" w:firstLineChars="0"/>
              <w:jc w:val="left"/>
              <w:rPr>
                <w:rFonts w:hint="default" w:ascii="宋体" w:hAnsi="宋体" w:eastAsia="宋体" w:cs="Times New Roman"/>
                <w:kern w:val="2"/>
                <w:sz w:val="21"/>
                <w:szCs w:val="21"/>
                <w:lang w:val="en-US" w:eastAsia="zh-CN" w:bidi="ar-SA"/>
              </w:rPr>
            </w:pPr>
            <w:r>
              <w:rPr>
                <w:rFonts w:hint="eastAsia" w:hAnsi="宋体"/>
                <w:kern w:val="2"/>
                <w:sz w:val="21"/>
                <w:szCs w:val="21"/>
              </w:rPr>
              <w:t>附属生产系统使用的煤炭、天然气、燃油、汽油等燃料</w:t>
            </w:r>
          </w:p>
        </w:tc>
        <w:tc>
          <w:tcPr>
            <w:tcW w:w="1104" w:type="pct"/>
            <w:shd w:val="clear" w:color="auto" w:fill="auto"/>
            <w:tcMar>
              <w:top w:w="20" w:type="dxa"/>
              <w:left w:w="30" w:type="dxa"/>
              <w:bottom w:w="20" w:type="dxa"/>
              <w:right w:w="30" w:type="dxa"/>
            </w:tcMar>
            <w:vAlign w:val="center"/>
          </w:tcPr>
          <w:p w14:paraId="7602F4A4">
            <w:pPr>
              <w:widowControl/>
              <w:spacing w:line="240" w:lineRule="auto"/>
              <w:jc w:val="center"/>
              <w:textAlignment w:val="auto"/>
              <w:rPr>
                <w:rFonts w:hint="default" w:ascii="宋体" w:hAnsi="宋体" w:eastAsia="宋体" w:cs="Times New Roman"/>
                <w:kern w:val="2"/>
                <w:sz w:val="21"/>
                <w:szCs w:val="21"/>
                <w:lang w:val="en-US" w:eastAsia="zh-CN" w:bidi="ar-SA"/>
              </w:rPr>
            </w:pPr>
            <w:r>
              <w:rPr>
                <w:rFonts w:hint="eastAsia" w:ascii="宋体" w:hAnsi="宋体" w:eastAsia="宋体" w:cs="Times New Roman"/>
                <w:kern w:val="2"/>
                <w:sz w:val="21"/>
                <w:szCs w:val="21"/>
                <w:lang w:val="en-US" w:eastAsia="zh-CN" w:bidi="ar-SA"/>
              </w:rPr>
              <w:t>生产指挥过程中的无组织排放</w:t>
            </w:r>
          </w:p>
        </w:tc>
        <w:tc>
          <w:tcPr>
            <w:tcW w:w="1387" w:type="pct"/>
            <w:shd w:val="clear" w:color="auto" w:fill="auto"/>
            <w:tcMar>
              <w:top w:w="20" w:type="dxa"/>
              <w:bottom w:w="20" w:type="dxa"/>
            </w:tcMar>
            <w:vAlign w:val="center"/>
          </w:tcPr>
          <w:p w14:paraId="50DD16DE">
            <w:pPr>
              <w:widowControl/>
              <w:spacing w:line="240" w:lineRule="auto"/>
              <w:jc w:val="center"/>
              <w:textAlignment w:val="auto"/>
              <w:rPr>
                <w:rFonts w:hint="default" w:ascii="宋体" w:hAnsi="宋体" w:eastAsia="宋体" w:cs="Times New Roman"/>
                <w:kern w:val="2"/>
                <w:sz w:val="21"/>
                <w:szCs w:val="21"/>
                <w:lang w:val="en-US" w:eastAsia="zh-CN" w:bidi="ar-SA"/>
              </w:rPr>
            </w:pPr>
            <w:r>
              <w:rPr>
                <w:rFonts w:hint="eastAsia" w:ascii="宋体" w:hAnsi="宋体" w:eastAsia="宋体" w:cs="Times New Roman"/>
                <w:kern w:val="2"/>
                <w:sz w:val="21"/>
                <w:szCs w:val="21"/>
                <w:lang w:val="en-US" w:eastAsia="zh-CN" w:bidi="ar-SA"/>
              </w:rPr>
              <w:t>供暖锅炉、燃油机组、制冷剂泄</w:t>
            </w:r>
            <w:r>
              <w:rPr>
                <w:rFonts w:hint="eastAsia" w:ascii="宋体" w:hAnsi="宋体" w:cs="Times New Roman"/>
                <w:kern w:val="2"/>
                <w:sz w:val="21"/>
                <w:szCs w:val="21"/>
                <w:lang w:val="en-US" w:eastAsia="zh-CN" w:bidi="ar-SA"/>
              </w:rPr>
              <w:t>漏</w:t>
            </w:r>
            <w:r>
              <w:rPr>
                <w:rFonts w:hint="eastAsia" w:ascii="宋体" w:hAnsi="宋体" w:eastAsia="宋体" w:cs="Times New Roman"/>
                <w:kern w:val="2"/>
                <w:sz w:val="21"/>
                <w:szCs w:val="21"/>
                <w:lang w:val="en-US" w:eastAsia="zh-CN" w:bidi="ar-SA"/>
              </w:rPr>
              <w:t>等</w:t>
            </w:r>
          </w:p>
        </w:tc>
      </w:tr>
      <w:tr w14:paraId="05D266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10" w:hRule="atLeast"/>
          <w:jc w:val="center"/>
        </w:trPr>
        <w:tc>
          <w:tcPr>
            <w:tcW w:w="247" w:type="pct"/>
            <w:vMerge w:val="continue"/>
            <w:shd w:val="clear" w:color="auto" w:fill="auto"/>
            <w:tcMar>
              <w:top w:w="20" w:type="dxa"/>
              <w:left w:w="30" w:type="dxa"/>
              <w:bottom w:w="20" w:type="dxa"/>
              <w:right w:w="30" w:type="dxa"/>
            </w:tcMar>
            <w:vAlign w:val="center"/>
          </w:tcPr>
          <w:p w14:paraId="56E84168">
            <w:pPr>
              <w:widowControl/>
              <w:spacing w:line="240" w:lineRule="auto"/>
              <w:jc w:val="center"/>
              <w:textAlignment w:val="auto"/>
              <w:rPr>
                <w:rFonts w:hint="default" w:ascii="宋体" w:hAnsi="宋体" w:eastAsia="宋体" w:cs="Times New Roman"/>
                <w:kern w:val="2"/>
                <w:sz w:val="21"/>
                <w:szCs w:val="21"/>
                <w:lang w:val="en-US" w:eastAsia="zh-CN" w:bidi="ar-SA"/>
              </w:rPr>
            </w:pPr>
          </w:p>
        </w:tc>
        <w:tc>
          <w:tcPr>
            <w:tcW w:w="374" w:type="pct"/>
            <w:vMerge w:val="continue"/>
            <w:shd w:val="clear" w:color="auto" w:fill="auto"/>
            <w:tcMar>
              <w:top w:w="20" w:type="dxa"/>
              <w:left w:w="30" w:type="dxa"/>
              <w:bottom w:w="20" w:type="dxa"/>
              <w:right w:w="30" w:type="dxa"/>
            </w:tcMar>
            <w:vAlign w:val="center"/>
          </w:tcPr>
          <w:p w14:paraId="23FEE92E">
            <w:pPr>
              <w:widowControl/>
              <w:spacing w:line="240" w:lineRule="auto"/>
              <w:jc w:val="center"/>
              <w:textAlignment w:val="auto"/>
              <w:rPr>
                <w:rFonts w:hint="default" w:ascii="宋体" w:hAnsi="宋体" w:eastAsia="宋体" w:cs="Times New Roman"/>
                <w:kern w:val="2"/>
                <w:sz w:val="21"/>
                <w:szCs w:val="21"/>
                <w:lang w:val="en-US" w:eastAsia="zh-CN" w:bidi="ar-SA"/>
              </w:rPr>
            </w:pPr>
          </w:p>
        </w:tc>
        <w:tc>
          <w:tcPr>
            <w:tcW w:w="737" w:type="pct"/>
            <w:shd w:val="clear" w:color="auto" w:fill="auto"/>
            <w:tcMar>
              <w:top w:w="20" w:type="dxa"/>
              <w:left w:w="30" w:type="dxa"/>
              <w:bottom w:w="20" w:type="dxa"/>
              <w:right w:w="30" w:type="dxa"/>
            </w:tcMar>
            <w:vAlign w:val="center"/>
          </w:tcPr>
          <w:p w14:paraId="4CDBCD9F">
            <w:pPr>
              <w:pStyle w:val="47"/>
              <w:ind w:right="210" w:rightChars="0" w:firstLine="0" w:firstLineChars="0"/>
              <w:jc w:val="both"/>
              <w:rPr>
                <w:rFonts w:hint="default" w:ascii="宋体" w:hAnsi="宋体" w:eastAsia="宋体" w:cs="Times New Roman"/>
                <w:kern w:val="2"/>
                <w:sz w:val="21"/>
                <w:szCs w:val="21"/>
                <w:lang w:val="en-US" w:eastAsia="zh-CN" w:bidi="ar-SA"/>
              </w:rPr>
            </w:pPr>
            <w:r>
              <w:rPr>
                <w:rFonts w:hint="eastAsia" w:ascii="宋体" w:hAnsi="宋体" w:eastAsia="宋体" w:cs="Times New Roman"/>
                <w:kern w:val="2"/>
                <w:sz w:val="21"/>
                <w:szCs w:val="21"/>
                <w:lang w:val="en-US" w:eastAsia="zh-CN" w:bidi="ar-SA"/>
              </w:rPr>
              <w:t>购入电力和热力产生的排放</w:t>
            </w:r>
          </w:p>
        </w:tc>
        <w:tc>
          <w:tcPr>
            <w:tcW w:w="1147" w:type="pct"/>
            <w:shd w:val="clear" w:color="auto" w:fill="auto"/>
            <w:tcMar>
              <w:top w:w="20" w:type="dxa"/>
              <w:left w:w="30" w:type="dxa"/>
              <w:bottom w:w="20" w:type="dxa"/>
              <w:right w:w="30" w:type="dxa"/>
            </w:tcMar>
            <w:vAlign w:val="center"/>
          </w:tcPr>
          <w:p w14:paraId="739A3ECE">
            <w:pPr>
              <w:pStyle w:val="47"/>
              <w:ind w:right="210" w:rightChars="0" w:firstLine="0" w:firstLineChars="0"/>
              <w:jc w:val="left"/>
              <w:rPr>
                <w:rFonts w:hint="default" w:ascii="Times New Roman" w:hAnsi="Times New Roman" w:cs="Times New Roman"/>
                <w:color w:val="0000FF"/>
                <w:kern w:val="0"/>
                <w:sz w:val="21"/>
                <w:szCs w:val="21"/>
              </w:rPr>
            </w:pPr>
            <w:r>
              <w:rPr>
                <w:rFonts w:hint="eastAsia" w:hAnsi="宋体"/>
                <w:kern w:val="2"/>
                <w:sz w:val="21"/>
                <w:szCs w:val="21"/>
              </w:rPr>
              <w:t>附属生产系统购入电力和热力</w:t>
            </w:r>
          </w:p>
        </w:tc>
        <w:tc>
          <w:tcPr>
            <w:tcW w:w="1104" w:type="pct"/>
            <w:shd w:val="clear" w:color="auto" w:fill="auto"/>
            <w:tcMar>
              <w:top w:w="20" w:type="dxa"/>
              <w:left w:w="30" w:type="dxa"/>
              <w:bottom w:w="20" w:type="dxa"/>
              <w:right w:w="30" w:type="dxa"/>
            </w:tcMar>
            <w:vAlign w:val="center"/>
          </w:tcPr>
          <w:p w14:paraId="391731B8">
            <w:pPr>
              <w:pStyle w:val="47"/>
              <w:ind w:right="210" w:rightChars="0" w:firstLine="0" w:firstLineChars="0"/>
              <w:jc w:val="center"/>
              <w:rPr>
                <w:rFonts w:hint="default" w:ascii="Times New Roman" w:hAnsi="Times New Roman" w:cs="Times New Roman"/>
                <w:color w:val="0000FF"/>
                <w:kern w:val="0"/>
                <w:sz w:val="21"/>
                <w:szCs w:val="21"/>
              </w:rPr>
            </w:pPr>
            <w:r>
              <w:rPr>
                <w:rFonts w:hint="eastAsia" w:hAnsi="宋体"/>
                <w:kern w:val="2"/>
                <w:sz w:val="21"/>
                <w:szCs w:val="21"/>
              </w:rPr>
              <w:t>分摊排放</w:t>
            </w:r>
          </w:p>
        </w:tc>
        <w:tc>
          <w:tcPr>
            <w:tcW w:w="1387" w:type="pct"/>
            <w:shd w:val="clear" w:color="auto" w:fill="auto"/>
            <w:tcMar>
              <w:top w:w="20" w:type="dxa"/>
              <w:bottom w:w="20" w:type="dxa"/>
            </w:tcMar>
            <w:vAlign w:val="center"/>
          </w:tcPr>
          <w:p w14:paraId="14969914">
            <w:pPr>
              <w:pStyle w:val="47"/>
              <w:ind w:right="210" w:rightChars="0" w:firstLine="0" w:firstLineChars="0"/>
              <w:jc w:val="both"/>
              <w:rPr>
                <w:rFonts w:hint="default" w:ascii="Times New Roman" w:hAnsi="Times New Roman" w:cs="Times New Roman"/>
                <w:color w:val="0000FF"/>
                <w:kern w:val="0"/>
                <w:sz w:val="21"/>
                <w:szCs w:val="21"/>
              </w:rPr>
            </w:pPr>
            <w:r>
              <w:rPr>
                <w:rFonts w:hint="eastAsia" w:hAnsi="宋体"/>
                <w:color w:val="000000" w:themeColor="text1"/>
                <w:kern w:val="2"/>
                <w:sz w:val="21"/>
                <w:szCs w:val="21"/>
                <w14:textFill>
                  <w14:solidFill>
                    <w14:schemeClr w14:val="tx1"/>
                  </w14:solidFill>
                </w14:textFill>
              </w:rPr>
              <w:t>照明、</w:t>
            </w:r>
            <w:r>
              <w:rPr>
                <w:rFonts w:hint="eastAsia" w:ascii="宋体" w:hAnsi="宋体" w:eastAsia="宋体" w:cs="Times New Roman"/>
                <w:kern w:val="2"/>
                <w:sz w:val="21"/>
                <w:szCs w:val="21"/>
                <w:lang w:val="en-US" w:eastAsia="zh-CN" w:bidi="ar-SA"/>
              </w:rPr>
              <w:t>空调</w:t>
            </w:r>
            <w:r>
              <w:rPr>
                <w:rFonts w:hint="eastAsia" w:hAnsi="宋体"/>
                <w:color w:val="000000" w:themeColor="text1"/>
                <w:kern w:val="2"/>
                <w:sz w:val="21"/>
                <w:szCs w:val="21"/>
                <w14:textFill>
                  <w14:solidFill>
                    <w14:schemeClr w14:val="tx1"/>
                  </w14:solidFill>
                </w14:textFill>
              </w:rPr>
              <w:t>、通风、办公设备</w:t>
            </w:r>
          </w:p>
        </w:tc>
      </w:tr>
    </w:tbl>
    <w:p w14:paraId="125212B7">
      <w:pPr>
        <w:rPr>
          <w:rFonts w:hint="default" w:ascii="Times New Roman" w:hAnsi="Times New Roman" w:cs="Times New Roman"/>
          <w:color w:val="auto"/>
          <w:szCs w:val="28"/>
        </w:rPr>
      </w:pPr>
      <w:r>
        <w:rPr>
          <w:rFonts w:hint="default" w:ascii="Times New Roman" w:hAnsi="Times New Roman" w:cs="Times New Roman"/>
          <w:color w:val="auto"/>
          <w:szCs w:val="28"/>
        </w:rPr>
        <w:br w:type="page"/>
      </w:r>
    </w:p>
    <w:p w14:paraId="49D62DBD">
      <w:pPr>
        <w:rPr>
          <w:rFonts w:hint="default" w:ascii="Times New Roman" w:hAnsi="Times New Roman" w:cs="Times New Roman"/>
          <w:color w:val="auto"/>
          <w:szCs w:val="28"/>
        </w:rPr>
      </w:pPr>
      <w:r>
        <w:rPr>
          <w:rFonts w:hint="default" w:ascii="Times New Roman" w:hAnsi="Times New Roman" w:cs="Times New Roman"/>
          <w:color w:val="auto"/>
          <w:szCs w:val="28"/>
        </w:rPr>
        <w:t xml:space="preserve">A.2 </w:t>
      </w:r>
      <w:r>
        <w:rPr>
          <w:rFonts w:hint="default" w:ascii="Times New Roman" w:hAnsi="Times New Roman" w:cs="Times New Roman"/>
          <w:color w:val="auto"/>
          <w:szCs w:val="28"/>
          <w:lang w:eastAsia="zh-CN"/>
        </w:rPr>
        <w:t>构件</w:t>
      </w:r>
      <w:r>
        <w:rPr>
          <w:rFonts w:hint="eastAsia" w:cs="Times New Roman"/>
          <w:color w:val="auto"/>
          <w:szCs w:val="28"/>
          <w:lang w:eastAsia="zh-CN"/>
        </w:rPr>
        <w:t>源流</w:t>
      </w:r>
      <w:r>
        <w:rPr>
          <w:rFonts w:hint="default" w:ascii="Times New Roman" w:hAnsi="Times New Roman" w:cs="Times New Roman"/>
          <w:color w:val="auto"/>
          <w:szCs w:val="28"/>
        </w:rPr>
        <w:t>编码规则</w:t>
      </w:r>
    </w:p>
    <w:p w14:paraId="38A57D55">
      <w:pPr>
        <w:jc w:val="center"/>
        <w:rPr>
          <w:rFonts w:hint="default" w:ascii="Times New Roman" w:hAnsi="Times New Roman" w:cs="Times New Roman"/>
          <w:color w:val="auto"/>
          <w:szCs w:val="28"/>
        </w:rPr>
      </w:pPr>
      <w:r>
        <w:rPr>
          <w:rFonts w:hint="default" w:ascii="Times New Roman" w:hAnsi="Times New Roman" w:eastAsia="黑体" w:cs="Times New Roman"/>
          <w:color w:val="auto"/>
          <w:sz w:val="21"/>
          <w:szCs w:val="21"/>
        </w:rPr>
        <w:t>表A.</w:t>
      </w:r>
      <w:r>
        <w:rPr>
          <w:rFonts w:hint="eastAsia" w:eastAsia="黑体" w:cs="Times New Roman"/>
          <w:color w:val="auto"/>
          <w:sz w:val="21"/>
          <w:szCs w:val="21"/>
          <w:lang w:val="en-US" w:eastAsia="zh-CN"/>
        </w:rPr>
        <w:t>2</w:t>
      </w:r>
      <w:r>
        <w:rPr>
          <w:rFonts w:hint="default" w:ascii="Times New Roman" w:hAnsi="Times New Roman" w:eastAsia="黑体" w:cs="Times New Roman"/>
          <w:color w:val="auto"/>
          <w:sz w:val="21"/>
          <w:szCs w:val="21"/>
        </w:rPr>
        <w:t xml:space="preserve"> </w:t>
      </w:r>
      <w:r>
        <w:rPr>
          <w:rFonts w:hint="default" w:ascii="Times New Roman" w:hAnsi="Times New Roman" w:eastAsia="黑体" w:cs="Times New Roman"/>
          <w:color w:val="auto"/>
          <w:sz w:val="21"/>
          <w:szCs w:val="21"/>
          <w:lang w:eastAsia="zh-CN"/>
        </w:rPr>
        <w:t>构件</w:t>
      </w:r>
      <w:r>
        <w:rPr>
          <w:rFonts w:hint="eastAsia" w:eastAsia="黑体" w:cs="Times New Roman"/>
          <w:color w:val="auto"/>
          <w:sz w:val="21"/>
          <w:szCs w:val="21"/>
          <w:lang w:eastAsia="zh-CN"/>
        </w:rPr>
        <w:t>源流</w:t>
      </w:r>
      <w:r>
        <w:rPr>
          <w:rFonts w:hint="default" w:ascii="Times New Roman" w:hAnsi="Times New Roman" w:eastAsia="黑体" w:cs="Times New Roman"/>
          <w:color w:val="auto"/>
          <w:sz w:val="21"/>
          <w:szCs w:val="21"/>
        </w:rPr>
        <w:t>编码示意表</w:t>
      </w:r>
    </w:p>
    <w:bookmarkEnd w:id="109"/>
    <w:tbl>
      <w:tblPr>
        <w:tblStyle w:val="19"/>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66"/>
        <w:gridCol w:w="2337"/>
        <w:gridCol w:w="776"/>
        <w:gridCol w:w="3446"/>
        <w:gridCol w:w="697"/>
      </w:tblGrid>
      <w:tr w14:paraId="62B6B0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5" w:hRule="atLeast"/>
          <w:jc w:val="center"/>
        </w:trPr>
        <w:tc>
          <w:tcPr>
            <w:tcW w:w="2565" w:type="pct"/>
            <w:gridSpan w:val="3"/>
          </w:tcPr>
          <w:p w14:paraId="3FC5FF45">
            <w:pPr>
              <w:widowControl/>
              <w:spacing w:line="240" w:lineRule="auto"/>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排放活动</w:t>
            </w:r>
          </w:p>
        </w:tc>
        <w:tc>
          <w:tcPr>
            <w:tcW w:w="2435" w:type="pct"/>
            <w:gridSpan w:val="2"/>
            <w:shd w:val="clear" w:color="auto" w:fill="auto"/>
            <w:noWrap/>
            <w:vAlign w:val="center"/>
          </w:tcPr>
          <w:p w14:paraId="29DEC84B">
            <w:pPr>
              <w:widowControl/>
              <w:spacing w:line="240" w:lineRule="auto"/>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lang w:eastAsia="zh-CN"/>
              </w:rPr>
              <w:t>构件</w:t>
            </w:r>
            <w:r>
              <w:rPr>
                <w:rFonts w:hint="eastAsia" w:cs="Times New Roman"/>
                <w:color w:val="auto"/>
                <w:kern w:val="0"/>
                <w:sz w:val="21"/>
                <w:szCs w:val="21"/>
                <w:lang w:eastAsia="zh-CN"/>
              </w:rPr>
              <w:t>源流</w:t>
            </w:r>
            <w:r>
              <w:rPr>
                <w:rFonts w:hint="default" w:ascii="Times New Roman" w:hAnsi="Times New Roman" w:cs="Times New Roman"/>
                <w:color w:val="auto"/>
                <w:kern w:val="0"/>
                <w:sz w:val="21"/>
                <w:szCs w:val="21"/>
              </w:rPr>
              <w:t>类型</w:t>
            </w:r>
          </w:p>
        </w:tc>
      </w:tr>
      <w:tr w14:paraId="361E74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733" w:type="pct"/>
            <w:shd w:val="clear" w:color="auto" w:fill="auto"/>
            <w:noWrap/>
            <w:vAlign w:val="center"/>
          </w:tcPr>
          <w:p w14:paraId="15B118FB">
            <w:pPr>
              <w:widowControl/>
              <w:spacing w:line="240" w:lineRule="auto"/>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排放名称</w:t>
            </w:r>
          </w:p>
        </w:tc>
        <w:tc>
          <w:tcPr>
            <w:tcW w:w="1374" w:type="pct"/>
          </w:tcPr>
          <w:p w14:paraId="46180FB4">
            <w:pPr>
              <w:widowControl/>
              <w:spacing w:line="240" w:lineRule="auto"/>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项目</w:t>
            </w:r>
          </w:p>
        </w:tc>
        <w:tc>
          <w:tcPr>
            <w:tcW w:w="458" w:type="pct"/>
            <w:shd w:val="clear" w:color="auto" w:fill="auto"/>
            <w:noWrap/>
            <w:vAlign w:val="center"/>
          </w:tcPr>
          <w:p w14:paraId="241F40E9">
            <w:pPr>
              <w:widowControl/>
              <w:spacing w:line="240" w:lineRule="auto"/>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编码</w:t>
            </w:r>
          </w:p>
        </w:tc>
        <w:tc>
          <w:tcPr>
            <w:tcW w:w="2024" w:type="pct"/>
            <w:shd w:val="clear" w:color="auto" w:fill="auto"/>
            <w:noWrap/>
            <w:vAlign w:val="center"/>
          </w:tcPr>
          <w:p w14:paraId="5E0A0049">
            <w:pPr>
              <w:widowControl/>
              <w:spacing w:line="240" w:lineRule="auto"/>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物质、资源或能源名称</w:t>
            </w:r>
          </w:p>
        </w:tc>
        <w:tc>
          <w:tcPr>
            <w:tcW w:w="411" w:type="pct"/>
            <w:shd w:val="clear" w:color="auto" w:fill="auto"/>
            <w:noWrap/>
            <w:vAlign w:val="center"/>
          </w:tcPr>
          <w:p w14:paraId="40B9E1F6">
            <w:pPr>
              <w:widowControl/>
              <w:spacing w:line="240" w:lineRule="auto"/>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编码</w:t>
            </w:r>
          </w:p>
        </w:tc>
      </w:tr>
      <w:tr w14:paraId="44ECD1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733" w:type="pct"/>
            <w:vMerge w:val="restart"/>
            <w:shd w:val="clear" w:color="auto" w:fill="auto"/>
            <w:noWrap/>
            <w:vAlign w:val="center"/>
          </w:tcPr>
          <w:p w14:paraId="4962A6AB">
            <w:pPr>
              <w:widowControl/>
              <w:spacing w:line="240" w:lineRule="auto"/>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直接碳排放</w:t>
            </w:r>
          </w:p>
        </w:tc>
        <w:tc>
          <w:tcPr>
            <w:tcW w:w="1374" w:type="pct"/>
          </w:tcPr>
          <w:p w14:paraId="68A0BF44">
            <w:pPr>
              <w:widowControl/>
              <w:spacing w:line="240" w:lineRule="auto"/>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化石能源消耗排放</w:t>
            </w:r>
          </w:p>
        </w:tc>
        <w:tc>
          <w:tcPr>
            <w:tcW w:w="458" w:type="pct"/>
            <w:vMerge w:val="restart"/>
            <w:shd w:val="clear" w:color="auto" w:fill="auto"/>
            <w:noWrap/>
            <w:vAlign w:val="center"/>
          </w:tcPr>
          <w:p w14:paraId="79D6890A">
            <w:pPr>
              <w:widowControl/>
              <w:spacing w:line="240" w:lineRule="auto"/>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D</w:t>
            </w:r>
          </w:p>
        </w:tc>
        <w:tc>
          <w:tcPr>
            <w:tcW w:w="2024" w:type="pct"/>
            <w:shd w:val="clear" w:color="auto" w:fill="auto"/>
            <w:noWrap/>
            <w:vAlign w:val="center"/>
          </w:tcPr>
          <w:p w14:paraId="36542FB5">
            <w:pPr>
              <w:widowControl/>
              <w:spacing w:line="240" w:lineRule="auto"/>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煤炭、燃油、天然气等化石燃料</w:t>
            </w:r>
          </w:p>
        </w:tc>
        <w:tc>
          <w:tcPr>
            <w:tcW w:w="411" w:type="pct"/>
            <w:shd w:val="clear" w:color="auto" w:fill="auto"/>
            <w:noWrap/>
            <w:vAlign w:val="center"/>
          </w:tcPr>
          <w:p w14:paraId="56B6FBF5">
            <w:pPr>
              <w:widowControl/>
              <w:spacing w:line="240" w:lineRule="auto"/>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D01.i</w:t>
            </w:r>
          </w:p>
        </w:tc>
      </w:tr>
      <w:tr w14:paraId="003F29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733" w:type="pct"/>
            <w:vMerge w:val="continue"/>
            <w:vAlign w:val="center"/>
          </w:tcPr>
          <w:p w14:paraId="4C31D47D">
            <w:pPr>
              <w:widowControl/>
              <w:spacing w:line="240" w:lineRule="auto"/>
              <w:jc w:val="center"/>
              <w:rPr>
                <w:rFonts w:hint="default" w:ascii="Times New Roman" w:hAnsi="Times New Roman" w:cs="Times New Roman"/>
                <w:color w:val="auto"/>
                <w:kern w:val="0"/>
                <w:sz w:val="21"/>
                <w:szCs w:val="21"/>
              </w:rPr>
            </w:pPr>
          </w:p>
        </w:tc>
        <w:tc>
          <w:tcPr>
            <w:tcW w:w="1374" w:type="pct"/>
            <w:vAlign w:val="center"/>
          </w:tcPr>
          <w:p w14:paraId="2EB1AD8E">
            <w:pPr>
              <w:widowControl/>
              <w:spacing w:line="240" w:lineRule="auto"/>
              <w:jc w:val="center"/>
              <w:rPr>
                <w:rFonts w:hint="default" w:ascii="Times New Roman" w:hAnsi="Times New Roman" w:cs="Times New Roman"/>
                <w:color w:val="auto"/>
                <w:kern w:val="0"/>
                <w:sz w:val="21"/>
                <w:szCs w:val="21"/>
              </w:rPr>
            </w:pPr>
            <w:r>
              <w:rPr>
                <w:rFonts w:hint="default" w:ascii="Times New Roman" w:hAnsi="Times New Roman" w:cs="Times New Roman"/>
                <w:color w:val="auto"/>
                <w:sz w:val="21"/>
                <w:szCs w:val="21"/>
              </w:rPr>
              <w:t>非能源介质过程排放</w:t>
            </w:r>
          </w:p>
        </w:tc>
        <w:tc>
          <w:tcPr>
            <w:tcW w:w="458" w:type="pct"/>
            <w:vMerge w:val="continue"/>
            <w:vAlign w:val="center"/>
          </w:tcPr>
          <w:p w14:paraId="715BFADF">
            <w:pPr>
              <w:widowControl/>
              <w:spacing w:line="240" w:lineRule="auto"/>
              <w:jc w:val="center"/>
              <w:rPr>
                <w:rFonts w:hint="default" w:ascii="Times New Roman" w:hAnsi="Times New Roman" w:cs="Times New Roman"/>
                <w:color w:val="auto"/>
                <w:kern w:val="0"/>
                <w:sz w:val="21"/>
                <w:szCs w:val="21"/>
              </w:rPr>
            </w:pPr>
          </w:p>
        </w:tc>
        <w:tc>
          <w:tcPr>
            <w:tcW w:w="2024" w:type="pct"/>
            <w:shd w:val="clear" w:color="auto" w:fill="auto"/>
            <w:noWrap/>
            <w:vAlign w:val="center"/>
          </w:tcPr>
          <w:p w14:paraId="70B4387E">
            <w:pPr>
              <w:widowControl/>
              <w:spacing w:line="240" w:lineRule="auto"/>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制冷剂、灭火剂、材料消耗等</w:t>
            </w:r>
          </w:p>
        </w:tc>
        <w:tc>
          <w:tcPr>
            <w:tcW w:w="411" w:type="pct"/>
            <w:shd w:val="clear" w:color="auto" w:fill="auto"/>
            <w:noWrap/>
            <w:vAlign w:val="center"/>
          </w:tcPr>
          <w:p w14:paraId="4CE820CD">
            <w:pPr>
              <w:widowControl/>
              <w:spacing w:line="240" w:lineRule="auto"/>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D02.i</w:t>
            </w:r>
          </w:p>
        </w:tc>
      </w:tr>
      <w:tr w14:paraId="445D8C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733" w:type="pct"/>
            <w:vMerge w:val="continue"/>
            <w:vAlign w:val="center"/>
          </w:tcPr>
          <w:p w14:paraId="121588C6">
            <w:pPr>
              <w:widowControl/>
              <w:spacing w:line="240" w:lineRule="auto"/>
              <w:jc w:val="center"/>
              <w:rPr>
                <w:rFonts w:hint="default" w:ascii="Times New Roman" w:hAnsi="Times New Roman" w:cs="Times New Roman"/>
                <w:color w:val="auto"/>
                <w:kern w:val="0"/>
                <w:sz w:val="21"/>
                <w:szCs w:val="21"/>
              </w:rPr>
            </w:pPr>
            <w:bookmarkStart w:id="110" w:name="_Hlk188027521"/>
          </w:p>
        </w:tc>
        <w:tc>
          <w:tcPr>
            <w:tcW w:w="1374" w:type="pct"/>
            <w:vAlign w:val="center"/>
          </w:tcPr>
          <w:p w14:paraId="5F2CD33E">
            <w:pPr>
              <w:widowControl/>
              <w:spacing w:line="240" w:lineRule="auto"/>
              <w:jc w:val="center"/>
              <w:rPr>
                <w:rFonts w:hint="default" w:ascii="Times New Roman" w:hAnsi="Times New Roman" w:cs="Times New Roman"/>
                <w:color w:val="auto"/>
                <w:kern w:val="0"/>
                <w:sz w:val="21"/>
                <w:szCs w:val="21"/>
              </w:rPr>
            </w:pPr>
            <w:r>
              <w:rPr>
                <w:rFonts w:hint="default" w:ascii="Times New Roman" w:hAnsi="Times New Roman" w:cs="Times New Roman"/>
                <w:color w:val="auto"/>
                <w:sz w:val="21"/>
                <w:szCs w:val="21"/>
              </w:rPr>
              <w:t>特殊物质过程排放</w:t>
            </w:r>
          </w:p>
        </w:tc>
        <w:tc>
          <w:tcPr>
            <w:tcW w:w="458" w:type="pct"/>
            <w:vMerge w:val="continue"/>
            <w:vAlign w:val="center"/>
          </w:tcPr>
          <w:p w14:paraId="55B0EC63">
            <w:pPr>
              <w:widowControl/>
              <w:spacing w:line="240" w:lineRule="auto"/>
              <w:jc w:val="center"/>
              <w:rPr>
                <w:rFonts w:hint="default" w:ascii="Times New Roman" w:hAnsi="Times New Roman" w:cs="Times New Roman"/>
                <w:color w:val="auto"/>
                <w:kern w:val="0"/>
                <w:sz w:val="21"/>
                <w:szCs w:val="21"/>
              </w:rPr>
            </w:pPr>
          </w:p>
        </w:tc>
        <w:tc>
          <w:tcPr>
            <w:tcW w:w="2024" w:type="pct"/>
            <w:shd w:val="clear" w:color="auto" w:fill="auto"/>
            <w:noWrap/>
            <w:vAlign w:val="center"/>
          </w:tcPr>
          <w:p w14:paraId="7F696F79">
            <w:pPr>
              <w:widowControl/>
              <w:spacing w:line="240" w:lineRule="auto"/>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绝缘气体</w:t>
            </w:r>
            <w:r>
              <w:rPr>
                <w:rFonts w:hint="eastAsia" w:cs="Times New Roman"/>
                <w:color w:val="auto"/>
                <w:kern w:val="0"/>
                <w:sz w:val="21"/>
                <w:szCs w:val="21"/>
                <w:lang w:eastAsia="zh-CN"/>
              </w:rPr>
              <w:t>、</w:t>
            </w:r>
            <w:r>
              <w:rPr>
                <w:rFonts w:hint="default" w:ascii="Times New Roman" w:hAnsi="Times New Roman" w:cs="Times New Roman"/>
                <w:color w:val="auto"/>
                <w:kern w:val="0"/>
                <w:sz w:val="21"/>
                <w:szCs w:val="21"/>
              </w:rPr>
              <w:t>含碳物质等</w:t>
            </w:r>
          </w:p>
        </w:tc>
        <w:tc>
          <w:tcPr>
            <w:tcW w:w="411" w:type="pct"/>
            <w:shd w:val="clear" w:color="auto" w:fill="auto"/>
            <w:noWrap/>
            <w:vAlign w:val="center"/>
          </w:tcPr>
          <w:p w14:paraId="0AE6692D">
            <w:pPr>
              <w:widowControl/>
              <w:spacing w:line="240" w:lineRule="auto"/>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D03.i</w:t>
            </w:r>
          </w:p>
        </w:tc>
      </w:tr>
      <w:bookmarkEnd w:id="110"/>
      <w:tr w14:paraId="13C81D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733" w:type="pct"/>
            <w:vMerge w:val="restart"/>
            <w:shd w:val="clear" w:color="auto" w:fill="auto"/>
            <w:noWrap/>
            <w:vAlign w:val="center"/>
          </w:tcPr>
          <w:p w14:paraId="53DD806E">
            <w:pPr>
              <w:widowControl/>
              <w:spacing w:line="240" w:lineRule="auto"/>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间接碳排放</w:t>
            </w:r>
          </w:p>
        </w:tc>
        <w:tc>
          <w:tcPr>
            <w:tcW w:w="1374" w:type="pct"/>
            <w:vMerge w:val="restart"/>
            <w:vAlign w:val="center"/>
          </w:tcPr>
          <w:p w14:paraId="7394D6D9">
            <w:pPr>
              <w:widowControl/>
              <w:spacing w:line="240" w:lineRule="auto"/>
              <w:jc w:val="center"/>
              <w:rPr>
                <w:rFonts w:hint="default" w:ascii="Times New Roman" w:hAnsi="Times New Roman" w:cs="Times New Roman"/>
                <w:color w:val="auto"/>
                <w:kern w:val="0"/>
                <w:sz w:val="21"/>
                <w:szCs w:val="21"/>
              </w:rPr>
            </w:pPr>
            <w:r>
              <w:rPr>
                <w:rFonts w:hint="default" w:ascii="Times New Roman" w:hAnsi="Times New Roman" w:cs="Times New Roman"/>
                <w:color w:val="auto"/>
                <w:sz w:val="21"/>
                <w:szCs w:val="21"/>
              </w:rPr>
              <w:t>净购入能源排放</w:t>
            </w:r>
          </w:p>
        </w:tc>
        <w:tc>
          <w:tcPr>
            <w:tcW w:w="458" w:type="pct"/>
            <w:vMerge w:val="restart"/>
            <w:shd w:val="clear" w:color="auto" w:fill="auto"/>
            <w:noWrap/>
            <w:vAlign w:val="center"/>
          </w:tcPr>
          <w:p w14:paraId="30032956">
            <w:pPr>
              <w:widowControl/>
              <w:spacing w:line="240" w:lineRule="auto"/>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I</w:t>
            </w:r>
          </w:p>
        </w:tc>
        <w:tc>
          <w:tcPr>
            <w:tcW w:w="2024" w:type="pct"/>
            <w:shd w:val="clear" w:color="auto" w:fill="auto"/>
            <w:noWrap/>
            <w:vAlign w:val="center"/>
          </w:tcPr>
          <w:p w14:paraId="04558E4E">
            <w:pPr>
              <w:widowControl/>
              <w:spacing w:line="240" w:lineRule="auto"/>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净购入电力产生的碳排放</w:t>
            </w:r>
          </w:p>
        </w:tc>
        <w:tc>
          <w:tcPr>
            <w:tcW w:w="411" w:type="pct"/>
            <w:shd w:val="clear" w:color="auto" w:fill="auto"/>
            <w:noWrap/>
            <w:vAlign w:val="center"/>
          </w:tcPr>
          <w:p w14:paraId="6140F371">
            <w:pPr>
              <w:widowControl/>
              <w:spacing w:line="240" w:lineRule="auto"/>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I11</w:t>
            </w:r>
          </w:p>
        </w:tc>
      </w:tr>
      <w:tr w14:paraId="3073C1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733" w:type="pct"/>
            <w:vMerge w:val="continue"/>
            <w:vAlign w:val="center"/>
          </w:tcPr>
          <w:p w14:paraId="7F16187A">
            <w:pPr>
              <w:widowControl/>
              <w:spacing w:line="240" w:lineRule="auto"/>
              <w:jc w:val="center"/>
              <w:rPr>
                <w:rFonts w:hint="default" w:ascii="Times New Roman" w:hAnsi="Times New Roman" w:cs="Times New Roman"/>
                <w:color w:val="auto"/>
                <w:kern w:val="0"/>
                <w:sz w:val="21"/>
                <w:szCs w:val="21"/>
              </w:rPr>
            </w:pPr>
          </w:p>
        </w:tc>
        <w:tc>
          <w:tcPr>
            <w:tcW w:w="1374" w:type="pct"/>
            <w:vMerge w:val="continue"/>
          </w:tcPr>
          <w:p w14:paraId="0DB5FB6E">
            <w:pPr>
              <w:widowControl/>
              <w:spacing w:line="240" w:lineRule="auto"/>
              <w:jc w:val="center"/>
              <w:rPr>
                <w:rFonts w:hint="default" w:ascii="Times New Roman" w:hAnsi="Times New Roman" w:cs="Times New Roman"/>
                <w:color w:val="auto"/>
                <w:kern w:val="0"/>
                <w:sz w:val="21"/>
                <w:szCs w:val="21"/>
              </w:rPr>
            </w:pPr>
          </w:p>
        </w:tc>
        <w:tc>
          <w:tcPr>
            <w:tcW w:w="458" w:type="pct"/>
            <w:vMerge w:val="continue"/>
            <w:vAlign w:val="center"/>
          </w:tcPr>
          <w:p w14:paraId="197B6F39">
            <w:pPr>
              <w:widowControl/>
              <w:spacing w:line="240" w:lineRule="auto"/>
              <w:jc w:val="center"/>
              <w:rPr>
                <w:rFonts w:hint="default" w:ascii="Times New Roman" w:hAnsi="Times New Roman" w:cs="Times New Roman"/>
                <w:color w:val="auto"/>
                <w:kern w:val="0"/>
                <w:sz w:val="21"/>
                <w:szCs w:val="21"/>
              </w:rPr>
            </w:pPr>
          </w:p>
        </w:tc>
        <w:tc>
          <w:tcPr>
            <w:tcW w:w="2024" w:type="pct"/>
            <w:shd w:val="clear" w:color="auto" w:fill="auto"/>
            <w:noWrap/>
            <w:vAlign w:val="center"/>
          </w:tcPr>
          <w:p w14:paraId="2F66A364">
            <w:pPr>
              <w:widowControl/>
              <w:spacing w:line="240" w:lineRule="auto"/>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净购入</w:t>
            </w:r>
            <w:r>
              <w:rPr>
                <w:rFonts w:hint="eastAsia" w:cs="Times New Roman"/>
                <w:color w:val="auto"/>
                <w:kern w:val="0"/>
                <w:sz w:val="21"/>
                <w:szCs w:val="21"/>
                <w:lang w:eastAsia="zh-CN"/>
              </w:rPr>
              <w:t>热</w:t>
            </w:r>
            <w:r>
              <w:rPr>
                <w:rFonts w:hint="default" w:ascii="Times New Roman" w:hAnsi="Times New Roman" w:cs="Times New Roman"/>
                <w:color w:val="auto"/>
                <w:kern w:val="0"/>
                <w:sz w:val="21"/>
                <w:szCs w:val="21"/>
              </w:rPr>
              <w:t>力产生的碳排放</w:t>
            </w:r>
          </w:p>
        </w:tc>
        <w:tc>
          <w:tcPr>
            <w:tcW w:w="411" w:type="pct"/>
            <w:shd w:val="clear" w:color="auto" w:fill="auto"/>
            <w:noWrap/>
            <w:vAlign w:val="center"/>
          </w:tcPr>
          <w:p w14:paraId="0F970A53">
            <w:pPr>
              <w:widowControl/>
              <w:spacing w:line="240" w:lineRule="auto"/>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I12</w:t>
            </w:r>
          </w:p>
        </w:tc>
      </w:tr>
    </w:tbl>
    <w:p w14:paraId="63C7EACA">
      <w:pPr>
        <w:rPr>
          <w:rFonts w:hint="default" w:ascii="Times New Roman" w:hAnsi="Times New Roman" w:cs="Times New Roman"/>
          <w:color w:val="auto"/>
          <w:sz w:val="18"/>
          <w:szCs w:val="20"/>
        </w:rPr>
      </w:pPr>
      <w:r>
        <w:rPr>
          <w:rFonts w:hint="default" w:ascii="Times New Roman" w:hAnsi="Times New Roman" w:cs="Times New Roman"/>
          <w:color w:val="auto"/>
          <w:sz w:val="18"/>
          <w:szCs w:val="20"/>
        </w:rPr>
        <w:t>注：i表示不同物质、资源或能源类型。</w:t>
      </w:r>
    </w:p>
    <w:p w14:paraId="07872DBD">
      <w:pPr>
        <w:ind w:firstLine="480" w:firstLineChars="200"/>
        <w:rPr>
          <w:rFonts w:hint="default" w:ascii="Times New Roman" w:hAnsi="Times New Roman" w:cs="Times New Roman"/>
          <w:color w:val="auto"/>
          <w:szCs w:val="28"/>
        </w:rPr>
      </w:pPr>
      <w:r>
        <w:rPr>
          <w:rFonts w:hint="default" w:ascii="Times New Roman" w:hAnsi="Times New Roman" w:cs="Times New Roman"/>
          <w:color w:val="auto"/>
          <w:szCs w:val="28"/>
        </w:rPr>
        <w:t>示例：</w:t>
      </w:r>
    </w:p>
    <w:p w14:paraId="67F263C8">
      <w:pPr>
        <w:ind w:firstLine="480" w:firstLineChars="200"/>
        <w:rPr>
          <w:rFonts w:hint="default" w:ascii="Times New Roman" w:hAnsi="Times New Roman" w:cs="Times New Roman"/>
          <w:color w:val="auto"/>
          <w:szCs w:val="28"/>
        </w:rPr>
      </w:pPr>
      <w:r>
        <w:rPr>
          <w:rFonts w:hint="default" w:ascii="Times New Roman" w:hAnsi="Times New Roman" w:cs="Times New Roman"/>
          <w:color w:val="auto"/>
          <w:szCs w:val="28"/>
        </w:rPr>
        <w:t>（1）D01.1：表示化石能源消耗排放项目中煤炭的</w:t>
      </w:r>
      <w:r>
        <w:rPr>
          <w:rFonts w:hint="default" w:ascii="Times New Roman" w:hAnsi="Times New Roman" w:cs="Times New Roman"/>
          <w:color w:val="auto"/>
          <w:szCs w:val="28"/>
          <w:lang w:eastAsia="zh-CN"/>
        </w:rPr>
        <w:t>构件</w:t>
      </w:r>
      <w:r>
        <w:rPr>
          <w:rFonts w:hint="eastAsia" w:cs="Times New Roman"/>
          <w:color w:val="auto"/>
          <w:szCs w:val="28"/>
          <w:lang w:eastAsia="zh-CN"/>
        </w:rPr>
        <w:t>源流</w:t>
      </w:r>
      <w:r>
        <w:rPr>
          <w:rFonts w:hint="default" w:ascii="Times New Roman" w:hAnsi="Times New Roman" w:cs="Times New Roman"/>
          <w:color w:val="auto"/>
          <w:szCs w:val="28"/>
        </w:rPr>
        <w:t>类型编码；</w:t>
      </w:r>
    </w:p>
    <w:p w14:paraId="58EACB5E">
      <w:pPr>
        <w:ind w:firstLine="480" w:firstLineChars="200"/>
        <w:rPr>
          <w:rFonts w:hint="default" w:ascii="Times New Roman" w:hAnsi="Times New Roman" w:cs="Times New Roman"/>
          <w:color w:val="auto"/>
          <w:szCs w:val="28"/>
        </w:rPr>
      </w:pPr>
      <w:r>
        <w:rPr>
          <w:rFonts w:hint="default" w:ascii="Times New Roman" w:hAnsi="Times New Roman" w:cs="Times New Roman"/>
          <w:color w:val="auto"/>
          <w:szCs w:val="28"/>
        </w:rPr>
        <w:t>（2）D01.2：表示化石能源消耗排放项目中燃油的</w:t>
      </w:r>
      <w:r>
        <w:rPr>
          <w:rFonts w:hint="default" w:ascii="Times New Roman" w:hAnsi="Times New Roman" w:cs="Times New Roman"/>
          <w:color w:val="auto"/>
          <w:szCs w:val="28"/>
          <w:lang w:eastAsia="zh-CN"/>
        </w:rPr>
        <w:t>构件</w:t>
      </w:r>
      <w:r>
        <w:rPr>
          <w:rFonts w:hint="eastAsia" w:cs="Times New Roman"/>
          <w:color w:val="auto"/>
          <w:szCs w:val="28"/>
          <w:lang w:eastAsia="zh-CN"/>
        </w:rPr>
        <w:t>源流</w:t>
      </w:r>
      <w:r>
        <w:rPr>
          <w:rFonts w:hint="default" w:ascii="Times New Roman" w:hAnsi="Times New Roman" w:cs="Times New Roman"/>
          <w:color w:val="auto"/>
          <w:szCs w:val="28"/>
        </w:rPr>
        <w:t>类型编码；</w:t>
      </w:r>
    </w:p>
    <w:p w14:paraId="4288BB93">
      <w:pPr>
        <w:ind w:firstLine="480" w:firstLineChars="200"/>
        <w:rPr>
          <w:rFonts w:hint="default" w:ascii="Times New Roman" w:hAnsi="Times New Roman" w:cs="Times New Roman"/>
          <w:color w:val="auto"/>
          <w:szCs w:val="28"/>
        </w:rPr>
      </w:pPr>
      <w:r>
        <w:rPr>
          <w:rFonts w:hint="default" w:ascii="Times New Roman" w:hAnsi="Times New Roman" w:cs="Times New Roman"/>
          <w:color w:val="auto"/>
          <w:szCs w:val="28"/>
        </w:rPr>
        <w:t>（3）D02.1：表示非化石能源消耗排放项目中制冷剂的</w:t>
      </w:r>
      <w:r>
        <w:rPr>
          <w:rFonts w:hint="default" w:ascii="Times New Roman" w:hAnsi="Times New Roman" w:cs="Times New Roman"/>
          <w:color w:val="auto"/>
          <w:szCs w:val="28"/>
          <w:lang w:eastAsia="zh-CN"/>
        </w:rPr>
        <w:t>构件</w:t>
      </w:r>
      <w:r>
        <w:rPr>
          <w:rFonts w:hint="eastAsia" w:cs="Times New Roman"/>
          <w:color w:val="auto"/>
          <w:szCs w:val="28"/>
          <w:lang w:eastAsia="zh-CN"/>
        </w:rPr>
        <w:t>源流</w:t>
      </w:r>
      <w:r>
        <w:rPr>
          <w:rFonts w:hint="default" w:ascii="Times New Roman" w:hAnsi="Times New Roman" w:cs="Times New Roman"/>
          <w:color w:val="auto"/>
          <w:szCs w:val="28"/>
        </w:rPr>
        <w:t>类型编码；</w:t>
      </w:r>
    </w:p>
    <w:p w14:paraId="1290DBDC">
      <w:pPr>
        <w:ind w:firstLine="480" w:firstLineChars="200"/>
        <w:rPr>
          <w:rFonts w:hint="default" w:ascii="Times New Roman" w:hAnsi="Times New Roman" w:cs="Times New Roman"/>
          <w:color w:val="auto"/>
          <w:szCs w:val="28"/>
        </w:rPr>
      </w:pPr>
      <w:r>
        <w:rPr>
          <w:rFonts w:hint="default" w:ascii="Times New Roman" w:hAnsi="Times New Roman" w:cs="Times New Roman"/>
          <w:color w:val="auto"/>
          <w:szCs w:val="28"/>
        </w:rPr>
        <w:t>（4）I11：表示净购入电力产生的</w:t>
      </w:r>
      <w:r>
        <w:rPr>
          <w:rFonts w:hint="default" w:ascii="Times New Roman" w:hAnsi="Times New Roman" w:cs="Times New Roman"/>
          <w:color w:val="auto"/>
          <w:szCs w:val="28"/>
          <w:lang w:eastAsia="zh-CN"/>
        </w:rPr>
        <w:t>构件</w:t>
      </w:r>
      <w:r>
        <w:rPr>
          <w:rFonts w:hint="eastAsia" w:cs="Times New Roman"/>
          <w:color w:val="auto"/>
          <w:szCs w:val="28"/>
          <w:lang w:eastAsia="zh-CN"/>
        </w:rPr>
        <w:t>源流</w:t>
      </w:r>
      <w:r>
        <w:rPr>
          <w:rFonts w:hint="default" w:ascii="Times New Roman" w:hAnsi="Times New Roman" w:cs="Times New Roman"/>
          <w:color w:val="auto"/>
          <w:szCs w:val="28"/>
        </w:rPr>
        <w:t>类型编码。</w:t>
      </w:r>
    </w:p>
    <w:p w14:paraId="5A4F3826">
      <w:pPr>
        <w:rPr>
          <w:rFonts w:hint="default" w:ascii="Times New Roman" w:hAnsi="Times New Roman" w:cs="Times New Roman"/>
          <w:color w:val="auto"/>
          <w:szCs w:val="28"/>
        </w:rPr>
      </w:pPr>
      <w:r>
        <w:rPr>
          <w:rFonts w:hint="default" w:ascii="Times New Roman" w:hAnsi="Times New Roman" w:cs="Times New Roman"/>
          <w:color w:val="auto"/>
          <w:szCs w:val="28"/>
        </w:rPr>
        <w:t>A.3 计量方法编码</w:t>
      </w:r>
    </w:p>
    <w:p w14:paraId="2C29F09C">
      <w:pPr>
        <w:jc w:val="center"/>
        <w:rPr>
          <w:rFonts w:hint="default" w:ascii="Times New Roman" w:hAnsi="Times New Roman" w:cs="Times New Roman"/>
          <w:color w:val="auto"/>
          <w:szCs w:val="28"/>
        </w:rPr>
      </w:pPr>
      <w:r>
        <w:rPr>
          <w:rFonts w:hint="default" w:ascii="Times New Roman" w:hAnsi="Times New Roman" w:eastAsia="黑体" w:cs="Times New Roman"/>
          <w:color w:val="auto"/>
          <w:sz w:val="21"/>
          <w:szCs w:val="21"/>
        </w:rPr>
        <w:t>表A.</w:t>
      </w:r>
      <w:r>
        <w:rPr>
          <w:rFonts w:hint="eastAsia" w:eastAsia="黑体" w:cs="Times New Roman"/>
          <w:color w:val="auto"/>
          <w:sz w:val="21"/>
          <w:szCs w:val="21"/>
          <w:lang w:val="en-US" w:eastAsia="zh-CN"/>
        </w:rPr>
        <w:t>3</w:t>
      </w:r>
      <w:r>
        <w:rPr>
          <w:rFonts w:hint="default" w:ascii="Times New Roman" w:hAnsi="Times New Roman" w:eastAsia="黑体" w:cs="Times New Roman"/>
          <w:color w:val="auto"/>
          <w:sz w:val="21"/>
          <w:szCs w:val="21"/>
        </w:rPr>
        <w:t xml:space="preserve"> 计量方式信息表</w:t>
      </w:r>
    </w:p>
    <w:tbl>
      <w:tblPr>
        <w:tblStyle w:val="1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69"/>
        <w:gridCol w:w="1824"/>
        <w:gridCol w:w="1559"/>
      </w:tblGrid>
      <w:tr w14:paraId="42F016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869" w:type="dxa"/>
            <w:vAlign w:val="center"/>
          </w:tcPr>
          <w:p w14:paraId="60004C3D">
            <w:pPr>
              <w:spacing w:line="240" w:lineRule="auto"/>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序号</w:t>
            </w:r>
          </w:p>
        </w:tc>
        <w:tc>
          <w:tcPr>
            <w:tcW w:w="1824" w:type="dxa"/>
            <w:vAlign w:val="center"/>
          </w:tcPr>
          <w:p w14:paraId="0679A983">
            <w:pPr>
              <w:spacing w:line="240" w:lineRule="auto"/>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方式</w:t>
            </w:r>
          </w:p>
        </w:tc>
        <w:tc>
          <w:tcPr>
            <w:tcW w:w="1559" w:type="dxa"/>
            <w:vAlign w:val="center"/>
          </w:tcPr>
          <w:p w14:paraId="0468C8E8">
            <w:pPr>
              <w:spacing w:line="240" w:lineRule="auto"/>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编码</w:t>
            </w:r>
          </w:p>
        </w:tc>
      </w:tr>
      <w:tr w14:paraId="229A72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869" w:type="dxa"/>
            <w:vAlign w:val="center"/>
          </w:tcPr>
          <w:p w14:paraId="0F921793">
            <w:pPr>
              <w:spacing w:line="240" w:lineRule="auto"/>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1</w:t>
            </w:r>
          </w:p>
        </w:tc>
        <w:tc>
          <w:tcPr>
            <w:tcW w:w="1824" w:type="dxa"/>
            <w:vAlign w:val="center"/>
          </w:tcPr>
          <w:p w14:paraId="729F2E14">
            <w:pPr>
              <w:spacing w:line="240" w:lineRule="auto"/>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数据折算法</w:t>
            </w:r>
          </w:p>
        </w:tc>
        <w:tc>
          <w:tcPr>
            <w:tcW w:w="1559" w:type="dxa"/>
            <w:vAlign w:val="center"/>
          </w:tcPr>
          <w:p w14:paraId="5FB7A0A3">
            <w:pPr>
              <w:spacing w:line="240" w:lineRule="auto"/>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C</w:t>
            </w:r>
          </w:p>
        </w:tc>
      </w:tr>
      <w:tr w14:paraId="1AD744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869" w:type="dxa"/>
            <w:vAlign w:val="center"/>
          </w:tcPr>
          <w:p w14:paraId="1A1F825D">
            <w:pPr>
              <w:spacing w:line="240" w:lineRule="auto"/>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2</w:t>
            </w:r>
          </w:p>
        </w:tc>
        <w:tc>
          <w:tcPr>
            <w:tcW w:w="1824" w:type="dxa"/>
            <w:vAlign w:val="center"/>
          </w:tcPr>
          <w:p w14:paraId="45D8D877">
            <w:pPr>
              <w:spacing w:line="240" w:lineRule="auto"/>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直接计量法</w:t>
            </w:r>
          </w:p>
        </w:tc>
        <w:tc>
          <w:tcPr>
            <w:tcW w:w="1559" w:type="dxa"/>
            <w:vAlign w:val="center"/>
          </w:tcPr>
          <w:p w14:paraId="2AF52D4A">
            <w:pPr>
              <w:spacing w:line="240" w:lineRule="auto"/>
              <w:jc w:val="center"/>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rPr>
              <w:t>M</w:t>
            </w:r>
          </w:p>
        </w:tc>
      </w:tr>
    </w:tbl>
    <w:p w14:paraId="4F6AD8EE">
      <w:pPr>
        <w:rPr>
          <w:rFonts w:hint="default" w:ascii="Times New Roman" w:hAnsi="Times New Roman" w:cs="Times New Roman"/>
          <w:color w:val="auto"/>
          <w:szCs w:val="28"/>
        </w:rPr>
      </w:pPr>
      <w:r>
        <w:rPr>
          <w:rFonts w:hint="default" w:ascii="Times New Roman" w:hAnsi="Times New Roman" w:cs="Times New Roman"/>
          <w:color w:val="auto"/>
          <w:szCs w:val="28"/>
        </w:rPr>
        <w:t>A.4 计量器具编码</w:t>
      </w:r>
    </w:p>
    <w:p w14:paraId="51110FC8">
      <w:pPr>
        <w:ind w:firstLine="480" w:firstLineChars="200"/>
        <w:rPr>
          <w:rFonts w:hint="default" w:ascii="Times New Roman" w:hAnsi="Times New Roman" w:cs="Times New Roman"/>
          <w:color w:val="auto"/>
          <w:szCs w:val="28"/>
        </w:rPr>
      </w:pPr>
      <w:r>
        <w:rPr>
          <w:rFonts w:hint="default" w:ascii="Times New Roman" w:hAnsi="Times New Roman" w:cs="Times New Roman"/>
          <w:color w:val="auto"/>
          <w:szCs w:val="28"/>
        </w:rPr>
        <w:t>取自实测活动数据的计量器具编码由排放源类型代码、计量方式代码与3位阿拉伯数字组成。</w:t>
      </w:r>
    </w:p>
    <w:p w14:paraId="16974606">
      <w:pPr>
        <w:ind w:firstLine="480" w:firstLineChars="200"/>
        <w:rPr>
          <w:rFonts w:hint="default" w:ascii="Times New Roman" w:hAnsi="Times New Roman" w:cs="Times New Roman"/>
          <w:color w:val="auto"/>
          <w:szCs w:val="28"/>
        </w:rPr>
      </w:pPr>
      <w:r>
        <w:rPr>
          <w:rFonts w:hint="default" w:ascii="Times New Roman" w:hAnsi="Times New Roman" w:cs="Times New Roman"/>
          <w:color w:val="auto"/>
          <w:szCs w:val="28"/>
        </w:rPr>
        <w:t>示例：</w:t>
      </w:r>
    </w:p>
    <w:p w14:paraId="446609E7">
      <w:pPr>
        <w:ind w:firstLine="480" w:firstLineChars="200"/>
        <w:rPr>
          <w:rFonts w:hint="default" w:ascii="Times New Roman" w:hAnsi="Times New Roman" w:cs="Times New Roman"/>
          <w:color w:val="auto"/>
          <w:szCs w:val="28"/>
        </w:rPr>
      </w:pPr>
      <w:r>
        <w:rPr>
          <w:rFonts w:hint="default" w:ascii="Times New Roman" w:hAnsi="Times New Roman" w:cs="Times New Roman"/>
          <w:color w:val="auto"/>
          <w:szCs w:val="28"/>
        </w:rPr>
        <w:t>（1）D01.1-C-002：表示采用数据折算法的化石能源消耗排放项目中煤炭的第2个计量器具；</w:t>
      </w:r>
    </w:p>
    <w:p w14:paraId="1996C5D3">
      <w:pPr>
        <w:ind w:firstLine="480" w:firstLineChars="200"/>
        <w:rPr>
          <w:rFonts w:hint="default" w:ascii="Times New Roman" w:hAnsi="Times New Roman" w:cs="Times New Roman"/>
          <w:color w:val="auto"/>
          <w:szCs w:val="28"/>
        </w:rPr>
      </w:pPr>
      <w:r>
        <w:rPr>
          <w:rFonts w:hint="default" w:ascii="Times New Roman" w:hAnsi="Times New Roman" w:cs="Times New Roman"/>
          <w:color w:val="auto"/>
          <w:szCs w:val="28"/>
        </w:rPr>
        <w:t>（2）D01.2-C-001：表示采用数据折算的化石能源消耗排放项目中燃油的第1个计量器具；</w:t>
      </w:r>
    </w:p>
    <w:p w14:paraId="3CD8AFDF">
      <w:pPr>
        <w:ind w:firstLine="480" w:firstLineChars="200"/>
        <w:rPr>
          <w:rFonts w:hint="default" w:ascii="Times New Roman" w:hAnsi="Times New Roman" w:cs="Times New Roman"/>
          <w:color w:val="auto"/>
          <w:szCs w:val="28"/>
        </w:rPr>
      </w:pPr>
      <w:r>
        <w:rPr>
          <w:rFonts w:hint="default" w:ascii="Times New Roman" w:hAnsi="Times New Roman" w:cs="Times New Roman"/>
          <w:color w:val="auto"/>
          <w:szCs w:val="28"/>
        </w:rPr>
        <w:t>（3）D02.1-M-001：表示非化石能源消耗排放项目中制冷剂的第1个计量器具。</w:t>
      </w:r>
    </w:p>
    <w:p w14:paraId="6D21D849">
      <w:pPr>
        <w:ind w:firstLine="480" w:firstLineChars="200"/>
        <w:rPr>
          <w:rFonts w:hint="default" w:ascii="Times New Roman" w:hAnsi="Times New Roman" w:cs="Times New Roman"/>
          <w:color w:val="auto"/>
          <w:szCs w:val="28"/>
        </w:rPr>
      </w:pPr>
    </w:p>
    <w:p w14:paraId="26AA3317">
      <w:pPr>
        <w:ind w:firstLine="480" w:firstLineChars="200"/>
        <w:rPr>
          <w:rFonts w:hint="default" w:ascii="Times New Roman" w:hAnsi="Times New Roman" w:cs="Times New Roman"/>
          <w:color w:val="auto"/>
          <w:szCs w:val="28"/>
        </w:rPr>
      </w:pPr>
    </w:p>
    <w:p w14:paraId="45610F79">
      <w:pPr>
        <w:ind w:firstLine="0" w:firstLineChars="0"/>
        <w:jc w:val="both"/>
        <w:rPr>
          <w:rFonts w:hint="eastAsia" w:cs="Times New Roman"/>
          <w:color w:val="auto"/>
          <w:szCs w:val="28"/>
          <w:lang w:val="en-US" w:eastAsia="zh-CN"/>
        </w:rPr>
      </w:pPr>
      <w:r>
        <w:rPr>
          <w:rFonts w:hint="default" w:cs="Times New Roman"/>
          <w:color w:val="auto"/>
          <w:szCs w:val="28"/>
          <w:lang w:val="en-US" w:eastAsia="zh-CN"/>
        </w:rPr>
        <w:t>A.5</w:t>
      </w:r>
      <w:r>
        <w:rPr>
          <w:rFonts w:hint="eastAsia" w:cs="Times New Roman"/>
          <w:color w:val="auto"/>
          <w:szCs w:val="28"/>
          <w:lang w:val="en-US" w:eastAsia="zh-CN"/>
        </w:rPr>
        <w:t xml:space="preserve"> 碳排放流向及</w:t>
      </w:r>
      <w:r>
        <w:rPr>
          <w:rFonts w:hint="eastAsia" w:cs="Times New Roman"/>
          <w:szCs w:val="28"/>
          <w:highlight w:val="none"/>
          <w:lang w:val="en-US" w:eastAsia="zh-CN"/>
        </w:rPr>
        <w:t>碳计量采集点网络图</w:t>
      </w:r>
    </w:p>
    <w:p w14:paraId="07F4DA25">
      <w:pPr>
        <w:ind w:firstLine="0" w:firstLineChars="0"/>
        <w:rPr>
          <w:rFonts w:hint="eastAsia" w:cs="Times New Roman"/>
          <w:color w:val="auto"/>
          <w:szCs w:val="28"/>
          <w:lang w:val="en-US" w:eastAsia="zh-CN"/>
        </w:rPr>
      </w:pPr>
      <w:r>
        <w:drawing>
          <wp:inline distT="0" distB="0" distL="114300" distR="114300">
            <wp:extent cx="5455285" cy="4704715"/>
            <wp:effectExtent l="0" t="0" r="0" b="6985"/>
            <wp:docPr id="608" name="图片 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 name="图片 607"/>
                    <pic:cNvPicPr>
                      <a:picLocks noChangeAspect="1"/>
                    </pic:cNvPicPr>
                  </pic:nvPicPr>
                  <pic:blipFill>
                    <a:blip r:embed="rId26"/>
                    <a:srcRect r="39560"/>
                    <a:stretch>
                      <a:fillRect/>
                    </a:stretch>
                  </pic:blipFill>
                  <pic:spPr>
                    <a:xfrm>
                      <a:off x="0" y="0"/>
                      <a:ext cx="5455285" cy="4704715"/>
                    </a:xfrm>
                    <a:prstGeom prst="rect">
                      <a:avLst/>
                    </a:prstGeom>
                  </pic:spPr>
                </pic:pic>
              </a:graphicData>
            </a:graphic>
          </wp:inline>
        </w:drawing>
      </w:r>
    </w:p>
    <w:p w14:paraId="614C4DA1">
      <w:pPr>
        <w:ind w:firstLine="0" w:firstLineChars="0"/>
        <w:jc w:val="center"/>
      </w:pPr>
      <w:r>
        <w:drawing>
          <wp:inline distT="0" distB="0" distL="114300" distR="114300">
            <wp:extent cx="4304030" cy="1476375"/>
            <wp:effectExtent l="0" t="0" r="0" b="0"/>
            <wp:docPr id="9" name="图片 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486"/>
                    <pic:cNvPicPr>
                      <a:picLocks noChangeAspect="1"/>
                    </pic:cNvPicPr>
                  </pic:nvPicPr>
                  <pic:blipFill>
                    <a:blip r:embed="rId27"/>
                    <a:srcRect l="62036" t="71843" b="3180"/>
                    <a:stretch>
                      <a:fillRect/>
                    </a:stretch>
                  </pic:blipFill>
                  <pic:spPr>
                    <a:xfrm>
                      <a:off x="0" y="0"/>
                      <a:ext cx="4304030" cy="1476375"/>
                    </a:xfrm>
                    <a:prstGeom prst="rect">
                      <a:avLst/>
                    </a:prstGeom>
                  </pic:spPr>
                </pic:pic>
              </a:graphicData>
            </a:graphic>
          </wp:inline>
        </w:drawing>
      </w:r>
    </w:p>
    <w:p w14:paraId="64A9836D">
      <w:pPr>
        <w:shd w:val="clear"/>
        <w:ind w:leftChars="1100" w:firstLine="1050" w:firstLineChars="500"/>
        <w:jc w:val="both"/>
        <w:rPr>
          <w:rFonts w:hint="eastAsia" w:asciiTheme="minorEastAsia" w:hAnsiTheme="minorEastAsia" w:eastAsiaTheme="minorEastAsia" w:cstheme="minorEastAsia"/>
          <w:sz w:val="21"/>
          <w:szCs w:val="21"/>
          <w:highlight w:val="none"/>
          <w:lang w:val="en-US" w:eastAsia="zh-CN"/>
        </w:rPr>
      </w:pPr>
      <w:r>
        <w:rPr>
          <w:rFonts w:hint="eastAsia" w:asciiTheme="minorEastAsia" w:hAnsiTheme="minorEastAsia" w:eastAsiaTheme="minorEastAsia" w:cstheme="minorEastAsia"/>
          <w:sz w:val="21"/>
          <w:szCs w:val="21"/>
          <w:highlight w:val="none"/>
          <w:lang w:val="en-US" w:eastAsia="zh-CN"/>
        </w:rPr>
        <w:t>编制：</w:t>
      </w:r>
      <w:r>
        <w:rPr>
          <w:rFonts w:hint="eastAsia" w:asciiTheme="minorEastAsia" w:hAnsiTheme="minorEastAsia" w:eastAsiaTheme="minorEastAsia" w:cstheme="minorEastAsia"/>
          <w:sz w:val="21"/>
          <w:szCs w:val="21"/>
          <w:highlight w:val="none"/>
          <w:u w:val="single"/>
          <w:lang w:val="en-US" w:eastAsia="zh-CN"/>
        </w:rPr>
        <w:t xml:space="preserve">       审核</w:t>
      </w:r>
      <w:r>
        <w:rPr>
          <w:rFonts w:hint="eastAsia" w:asciiTheme="minorEastAsia" w:hAnsiTheme="minorEastAsia" w:eastAsiaTheme="minorEastAsia" w:cstheme="minorEastAsia"/>
          <w:sz w:val="21"/>
          <w:szCs w:val="21"/>
          <w:highlight w:val="none"/>
          <w:lang w:val="en-US" w:eastAsia="zh-CN"/>
        </w:rPr>
        <w:t>：</w:t>
      </w:r>
      <w:r>
        <w:rPr>
          <w:rFonts w:hint="eastAsia" w:asciiTheme="minorEastAsia" w:hAnsiTheme="minorEastAsia" w:eastAsiaTheme="minorEastAsia" w:cstheme="minorEastAsia"/>
          <w:sz w:val="21"/>
          <w:szCs w:val="21"/>
          <w:highlight w:val="none"/>
          <w:u w:val="single"/>
          <w:lang w:val="en-US" w:eastAsia="zh-CN"/>
        </w:rPr>
        <w:t xml:space="preserve">       </w:t>
      </w:r>
      <w:r>
        <w:rPr>
          <w:rFonts w:hint="eastAsia" w:asciiTheme="minorEastAsia" w:hAnsiTheme="minorEastAsia" w:eastAsiaTheme="minorEastAsia" w:cstheme="minorEastAsia"/>
          <w:sz w:val="21"/>
          <w:szCs w:val="21"/>
          <w:highlight w:val="none"/>
          <w:lang w:val="en-US" w:eastAsia="zh-CN"/>
        </w:rPr>
        <w:t>批准：</w:t>
      </w:r>
      <w:r>
        <w:rPr>
          <w:rFonts w:hint="eastAsia" w:asciiTheme="minorEastAsia" w:hAnsiTheme="minorEastAsia" w:eastAsiaTheme="minorEastAsia" w:cstheme="minorEastAsia"/>
          <w:sz w:val="21"/>
          <w:szCs w:val="21"/>
          <w:highlight w:val="none"/>
          <w:u w:val="single"/>
          <w:lang w:val="en-US" w:eastAsia="zh-CN"/>
        </w:rPr>
        <w:t xml:space="preserve">       </w:t>
      </w:r>
      <w:r>
        <w:rPr>
          <w:rFonts w:hint="eastAsia" w:asciiTheme="minorEastAsia" w:hAnsiTheme="minorEastAsia" w:eastAsiaTheme="minorEastAsia" w:cstheme="minorEastAsia"/>
          <w:sz w:val="21"/>
          <w:szCs w:val="21"/>
          <w:highlight w:val="none"/>
          <w:lang w:val="en-US" w:eastAsia="zh-CN"/>
        </w:rPr>
        <w:t>日期：</w:t>
      </w:r>
      <w:r>
        <w:rPr>
          <w:rFonts w:hint="eastAsia" w:asciiTheme="minorEastAsia" w:hAnsiTheme="minorEastAsia" w:eastAsiaTheme="minorEastAsia" w:cstheme="minorEastAsia"/>
          <w:sz w:val="21"/>
          <w:szCs w:val="21"/>
          <w:highlight w:val="none"/>
          <w:u w:val="single"/>
          <w:lang w:val="en-US" w:eastAsia="zh-CN"/>
        </w:rPr>
        <w:t xml:space="preserve">       </w:t>
      </w:r>
    </w:p>
    <w:p w14:paraId="1EA02661">
      <w:pPr>
        <w:shd w:val="clear"/>
        <w:jc w:val="center"/>
        <w:rPr>
          <w:rFonts w:hint="default" w:eastAsia="宋体"/>
          <w:lang w:val="en-US" w:eastAsia="zh-CN"/>
        </w:rPr>
      </w:pPr>
    </w:p>
    <w:p w14:paraId="4199260C">
      <w:pPr>
        <w:shd w:val="clear"/>
        <w:jc w:val="center"/>
        <w:rPr>
          <w:rFonts w:hint="default" w:eastAsia="黑体" w:cs="Times New Roman"/>
          <w:sz w:val="21"/>
          <w:szCs w:val="21"/>
          <w:highlight w:val="none"/>
          <w:lang w:val="en-US" w:eastAsia="zh-CN"/>
        </w:rPr>
      </w:pPr>
      <w:r>
        <w:rPr>
          <w:rFonts w:hint="default" w:eastAsia="黑体" w:cs="Times New Roman"/>
          <w:sz w:val="21"/>
          <w:szCs w:val="21"/>
          <w:highlight w:val="none"/>
          <w:lang w:val="en-US" w:eastAsia="zh-CN"/>
        </w:rPr>
        <w:t>图</w:t>
      </w:r>
      <w:r>
        <w:rPr>
          <w:rFonts w:hint="eastAsia" w:eastAsia="黑体" w:cs="Times New Roman"/>
          <w:sz w:val="21"/>
          <w:szCs w:val="21"/>
          <w:highlight w:val="none"/>
          <w:lang w:val="en-US" w:eastAsia="zh-CN"/>
        </w:rPr>
        <w:t>A</w:t>
      </w:r>
      <w:r>
        <w:rPr>
          <w:rFonts w:hint="default" w:eastAsia="黑体" w:cs="Times New Roman"/>
          <w:sz w:val="21"/>
          <w:szCs w:val="21"/>
          <w:highlight w:val="none"/>
          <w:lang w:val="en-US" w:eastAsia="zh-CN"/>
        </w:rPr>
        <w:t xml:space="preserve">.1 </w:t>
      </w:r>
      <w:r>
        <w:rPr>
          <w:rFonts w:hint="eastAsia" w:eastAsia="黑体" w:cs="Times New Roman"/>
          <w:sz w:val="21"/>
          <w:szCs w:val="21"/>
          <w:highlight w:val="none"/>
          <w:lang w:val="en-US" w:eastAsia="zh-CN"/>
        </w:rPr>
        <w:t>碳排放</w:t>
      </w:r>
      <w:r>
        <w:rPr>
          <w:rFonts w:hint="default" w:eastAsia="黑体" w:cs="Times New Roman"/>
          <w:sz w:val="21"/>
          <w:szCs w:val="21"/>
          <w:highlight w:val="none"/>
          <w:lang w:val="en-US" w:eastAsia="zh-CN"/>
        </w:rPr>
        <w:t>气体流向图（参考件）</w:t>
      </w:r>
    </w:p>
    <w:p w14:paraId="0C7E4069">
      <w:pPr>
        <w:shd w:val="clear"/>
        <w:jc w:val="center"/>
        <w:rPr>
          <w:rFonts w:hint="default" w:eastAsia="黑体" w:cs="Times New Roman"/>
          <w:sz w:val="21"/>
          <w:szCs w:val="21"/>
          <w:highlight w:val="none"/>
          <w:lang w:val="en-US" w:eastAsia="zh-CN"/>
        </w:rPr>
      </w:pPr>
    </w:p>
    <w:p w14:paraId="325F25F8">
      <w:pPr>
        <w:shd w:val="clear"/>
        <w:jc w:val="center"/>
        <w:rPr>
          <w:rFonts w:hint="default" w:eastAsia="黑体" w:cs="Times New Roman"/>
          <w:sz w:val="21"/>
          <w:szCs w:val="21"/>
          <w:highlight w:val="none"/>
          <w:lang w:val="en-US" w:eastAsia="zh-CN"/>
        </w:rPr>
      </w:pPr>
    </w:p>
    <w:p w14:paraId="2B26D27B">
      <w:pPr>
        <w:shd w:val="clear"/>
        <w:jc w:val="center"/>
        <w:rPr>
          <w:rFonts w:hint="default" w:eastAsia="黑体" w:cs="Times New Roman"/>
          <w:sz w:val="21"/>
          <w:szCs w:val="21"/>
          <w:highlight w:val="none"/>
          <w:lang w:val="en-US" w:eastAsia="zh-CN"/>
        </w:rPr>
      </w:pPr>
    </w:p>
    <w:p w14:paraId="3A31221B">
      <w:pPr>
        <w:ind w:firstLine="0" w:firstLineChars="0"/>
        <w:rPr>
          <w:rFonts w:hint="eastAsia" w:ascii="Times New Roman" w:hAnsi="Times New Roman" w:eastAsia="宋体" w:cs="Times New Roman"/>
          <w:color w:val="auto"/>
          <w:szCs w:val="28"/>
          <w:lang w:val="en-US" w:eastAsia="zh-CN"/>
        </w:rPr>
      </w:pPr>
      <w:r>
        <w:drawing>
          <wp:inline distT="0" distB="0" distL="114300" distR="114300">
            <wp:extent cx="5274945" cy="3054985"/>
            <wp:effectExtent l="0" t="0" r="8255" b="5715"/>
            <wp:docPr id="10"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2"/>
                    <pic:cNvPicPr>
                      <a:picLocks noChangeAspect="1"/>
                    </pic:cNvPicPr>
                  </pic:nvPicPr>
                  <pic:blipFill>
                    <a:blip r:embed="rId28"/>
                    <a:stretch>
                      <a:fillRect/>
                    </a:stretch>
                  </pic:blipFill>
                  <pic:spPr>
                    <a:xfrm>
                      <a:off x="0" y="0"/>
                      <a:ext cx="5274945" cy="3054985"/>
                    </a:xfrm>
                    <a:prstGeom prst="rect">
                      <a:avLst/>
                    </a:prstGeom>
                    <a:noFill/>
                    <a:ln>
                      <a:noFill/>
                    </a:ln>
                  </pic:spPr>
                </pic:pic>
              </a:graphicData>
            </a:graphic>
          </wp:inline>
        </w:drawing>
      </w:r>
    </w:p>
    <w:p w14:paraId="22E92992">
      <w:pPr>
        <w:shd w:val="clear"/>
        <w:ind w:leftChars="0"/>
        <w:jc w:val="left"/>
        <w:rPr>
          <w:rFonts w:hint="eastAsia" w:asciiTheme="minorEastAsia" w:hAnsiTheme="minorEastAsia" w:eastAsiaTheme="minorEastAsia" w:cstheme="minorEastAsia"/>
          <w:sz w:val="21"/>
          <w:szCs w:val="21"/>
          <w:highlight w:val="none"/>
          <w:lang w:val="en-US" w:eastAsia="zh-CN"/>
        </w:rPr>
      </w:pPr>
      <w:r>
        <w:rPr>
          <w:rFonts w:hint="eastAsia" w:asciiTheme="minorEastAsia" w:hAnsiTheme="minorEastAsia" w:eastAsiaTheme="minorEastAsia" w:cstheme="minorEastAsia"/>
          <w:sz w:val="21"/>
          <w:szCs w:val="21"/>
          <w:highlight w:val="none"/>
          <w:lang w:val="en-US" w:eastAsia="zh-CN"/>
        </w:rPr>
        <w:t>编制：</w:t>
      </w:r>
      <w:r>
        <w:rPr>
          <w:rFonts w:hint="eastAsia" w:asciiTheme="minorEastAsia" w:hAnsiTheme="minorEastAsia" w:eastAsiaTheme="minorEastAsia" w:cstheme="minorEastAsia"/>
          <w:sz w:val="21"/>
          <w:szCs w:val="21"/>
          <w:highlight w:val="none"/>
          <w:u w:val="single"/>
          <w:lang w:val="en-US" w:eastAsia="zh-CN"/>
        </w:rPr>
        <w:t xml:space="preserve">       审核</w:t>
      </w:r>
      <w:r>
        <w:rPr>
          <w:rFonts w:hint="eastAsia" w:asciiTheme="minorEastAsia" w:hAnsiTheme="minorEastAsia" w:eastAsiaTheme="minorEastAsia" w:cstheme="minorEastAsia"/>
          <w:sz w:val="21"/>
          <w:szCs w:val="21"/>
          <w:highlight w:val="none"/>
          <w:lang w:val="en-US" w:eastAsia="zh-CN"/>
        </w:rPr>
        <w:t>：</w:t>
      </w:r>
      <w:r>
        <w:rPr>
          <w:rFonts w:hint="eastAsia" w:asciiTheme="minorEastAsia" w:hAnsiTheme="minorEastAsia" w:eastAsiaTheme="minorEastAsia" w:cstheme="minorEastAsia"/>
          <w:sz w:val="21"/>
          <w:szCs w:val="21"/>
          <w:highlight w:val="none"/>
          <w:u w:val="single"/>
          <w:lang w:val="en-US" w:eastAsia="zh-CN"/>
        </w:rPr>
        <w:t xml:space="preserve">       </w:t>
      </w:r>
      <w:r>
        <w:rPr>
          <w:rFonts w:hint="eastAsia" w:asciiTheme="minorEastAsia" w:hAnsiTheme="minorEastAsia" w:eastAsiaTheme="minorEastAsia" w:cstheme="minorEastAsia"/>
          <w:sz w:val="21"/>
          <w:szCs w:val="21"/>
          <w:highlight w:val="none"/>
          <w:lang w:val="en-US" w:eastAsia="zh-CN"/>
        </w:rPr>
        <w:t>批准：</w:t>
      </w:r>
      <w:r>
        <w:rPr>
          <w:rFonts w:hint="eastAsia" w:asciiTheme="minorEastAsia" w:hAnsiTheme="minorEastAsia" w:eastAsiaTheme="minorEastAsia" w:cstheme="minorEastAsia"/>
          <w:sz w:val="21"/>
          <w:szCs w:val="21"/>
          <w:highlight w:val="none"/>
          <w:u w:val="single"/>
          <w:lang w:val="en-US" w:eastAsia="zh-CN"/>
        </w:rPr>
        <w:t xml:space="preserve">       </w:t>
      </w:r>
      <w:r>
        <w:rPr>
          <w:rFonts w:hint="eastAsia" w:asciiTheme="minorEastAsia" w:hAnsiTheme="minorEastAsia" w:eastAsiaTheme="minorEastAsia" w:cstheme="minorEastAsia"/>
          <w:sz w:val="21"/>
          <w:szCs w:val="21"/>
          <w:highlight w:val="none"/>
          <w:lang w:val="en-US" w:eastAsia="zh-CN"/>
        </w:rPr>
        <w:t>日期：</w:t>
      </w:r>
      <w:r>
        <w:rPr>
          <w:rFonts w:hint="eastAsia" w:asciiTheme="minorEastAsia" w:hAnsiTheme="minorEastAsia" w:eastAsiaTheme="minorEastAsia" w:cstheme="minorEastAsia"/>
          <w:sz w:val="21"/>
          <w:szCs w:val="21"/>
          <w:highlight w:val="none"/>
          <w:u w:val="single"/>
          <w:lang w:val="en-US" w:eastAsia="zh-CN"/>
        </w:rPr>
        <w:t xml:space="preserve">       </w:t>
      </w:r>
    </w:p>
    <w:p w14:paraId="1FD0CEBF">
      <w:pPr>
        <w:shd w:val="clear"/>
        <w:jc w:val="center"/>
        <w:rPr>
          <w:rFonts w:hint="default" w:eastAsia="黑体" w:cs="Times New Roman"/>
          <w:sz w:val="21"/>
          <w:szCs w:val="21"/>
          <w:highlight w:val="none"/>
          <w:lang w:val="en-US" w:eastAsia="zh-CN"/>
        </w:rPr>
      </w:pPr>
      <w:r>
        <w:rPr>
          <w:rFonts w:hint="default" w:eastAsia="黑体" w:cs="Times New Roman"/>
          <w:sz w:val="21"/>
          <w:szCs w:val="21"/>
          <w:highlight w:val="none"/>
          <w:lang w:val="en-US" w:eastAsia="zh-CN"/>
        </w:rPr>
        <w:t>图</w:t>
      </w:r>
      <w:r>
        <w:rPr>
          <w:rFonts w:hint="eastAsia" w:eastAsia="黑体" w:cs="Times New Roman"/>
          <w:sz w:val="21"/>
          <w:szCs w:val="21"/>
          <w:highlight w:val="none"/>
          <w:lang w:val="en-US" w:eastAsia="zh-CN"/>
        </w:rPr>
        <w:t>A</w:t>
      </w:r>
      <w:r>
        <w:rPr>
          <w:rFonts w:hint="default" w:eastAsia="黑体" w:cs="Times New Roman"/>
          <w:sz w:val="21"/>
          <w:szCs w:val="21"/>
          <w:highlight w:val="none"/>
          <w:lang w:val="en-US" w:eastAsia="zh-CN"/>
        </w:rPr>
        <w:t>.</w:t>
      </w:r>
      <w:r>
        <w:rPr>
          <w:rFonts w:hint="eastAsia" w:eastAsia="黑体" w:cs="Times New Roman"/>
          <w:sz w:val="21"/>
          <w:szCs w:val="21"/>
          <w:highlight w:val="none"/>
          <w:lang w:val="en-US" w:eastAsia="zh-CN"/>
        </w:rPr>
        <w:t>2 a)</w:t>
      </w:r>
      <w:r>
        <w:rPr>
          <w:rFonts w:hint="default" w:eastAsia="黑体" w:cs="Times New Roman"/>
          <w:sz w:val="21"/>
          <w:szCs w:val="21"/>
          <w:highlight w:val="none"/>
          <w:lang w:val="en-US" w:eastAsia="zh-CN"/>
        </w:rPr>
        <w:t xml:space="preserve"> </w:t>
      </w:r>
      <w:r>
        <w:rPr>
          <w:rFonts w:hint="eastAsia" w:eastAsia="黑体" w:cs="Times New Roman"/>
          <w:sz w:val="21"/>
          <w:szCs w:val="21"/>
          <w:highlight w:val="none"/>
          <w:lang w:val="en-US" w:eastAsia="zh-CN"/>
        </w:rPr>
        <w:t>外购电力碳计量器具配备及计量点网络图</w:t>
      </w:r>
      <w:r>
        <w:rPr>
          <w:rFonts w:hint="default" w:eastAsia="黑体" w:cs="Times New Roman"/>
          <w:sz w:val="21"/>
          <w:szCs w:val="21"/>
          <w:highlight w:val="none"/>
          <w:lang w:val="en-US" w:eastAsia="zh-CN"/>
        </w:rPr>
        <w:t>（参考件）</w:t>
      </w:r>
    </w:p>
    <w:p w14:paraId="7540A657">
      <w:pPr>
        <w:shd w:val="clear"/>
        <w:jc w:val="center"/>
        <w:rPr>
          <w:rFonts w:hint="default" w:ascii="Times New Roman" w:hAnsi="Times New Roman" w:eastAsia="黑体" w:cs="Times New Roman"/>
          <w:sz w:val="21"/>
          <w:szCs w:val="21"/>
          <w:highlight w:val="none"/>
          <w:lang w:val="en-US" w:eastAsia="zh-CN"/>
        </w:rPr>
      </w:pPr>
      <w:r>
        <w:drawing>
          <wp:inline distT="0" distB="0" distL="114300" distR="114300">
            <wp:extent cx="1439545" cy="3729990"/>
            <wp:effectExtent l="0" t="0" r="8255" b="3810"/>
            <wp:docPr id="15"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23"/>
                    <pic:cNvPicPr>
                      <a:picLocks noChangeAspect="1"/>
                    </pic:cNvPicPr>
                  </pic:nvPicPr>
                  <pic:blipFill>
                    <a:blip r:embed="rId29"/>
                    <a:stretch>
                      <a:fillRect/>
                    </a:stretch>
                  </pic:blipFill>
                  <pic:spPr>
                    <a:xfrm>
                      <a:off x="0" y="0"/>
                      <a:ext cx="1439545" cy="3729990"/>
                    </a:xfrm>
                    <a:prstGeom prst="rect">
                      <a:avLst/>
                    </a:prstGeom>
                    <a:noFill/>
                    <a:ln>
                      <a:noFill/>
                    </a:ln>
                  </pic:spPr>
                </pic:pic>
              </a:graphicData>
            </a:graphic>
          </wp:inline>
        </w:drawing>
      </w:r>
    </w:p>
    <w:p w14:paraId="26C0BF13">
      <w:pPr>
        <w:shd w:val="clear"/>
        <w:ind w:leftChars="0"/>
        <w:jc w:val="left"/>
        <w:rPr>
          <w:rFonts w:hint="eastAsia" w:asciiTheme="minorEastAsia" w:hAnsiTheme="minorEastAsia" w:eastAsiaTheme="minorEastAsia" w:cstheme="minorEastAsia"/>
          <w:sz w:val="21"/>
          <w:szCs w:val="21"/>
          <w:highlight w:val="none"/>
          <w:lang w:val="en-US" w:eastAsia="zh-CN"/>
        </w:rPr>
      </w:pPr>
      <w:r>
        <w:rPr>
          <w:rFonts w:hint="eastAsia" w:asciiTheme="minorEastAsia" w:hAnsiTheme="minorEastAsia" w:eastAsiaTheme="minorEastAsia" w:cstheme="minorEastAsia"/>
          <w:sz w:val="21"/>
          <w:szCs w:val="21"/>
          <w:highlight w:val="none"/>
          <w:lang w:val="en-US" w:eastAsia="zh-CN"/>
        </w:rPr>
        <w:t>编制：</w:t>
      </w:r>
      <w:r>
        <w:rPr>
          <w:rFonts w:hint="eastAsia" w:asciiTheme="minorEastAsia" w:hAnsiTheme="minorEastAsia" w:eastAsiaTheme="minorEastAsia" w:cstheme="minorEastAsia"/>
          <w:sz w:val="21"/>
          <w:szCs w:val="21"/>
          <w:highlight w:val="none"/>
          <w:u w:val="single"/>
          <w:lang w:val="en-US" w:eastAsia="zh-CN"/>
        </w:rPr>
        <w:t xml:space="preserve">       审核</w:t>
      </w:r>
      <w:r>
        <w:rPr>
          <w:rFonts w:hint="eastAsia" w:asciiTheme="minorEastAsia" w:hAnsiTheme="minorEastAsia" w:eastAsiaTheme="minorEastAsia" w:cstheme="minorEastAsia"/>
          <w:sz w:val="21"/>
          <w:szCs w:val="21"/>
          <w:highlight w:val="none"/>
          <w:lang w:val="en-US" w:eastAsia="zh-CN"/>
        </w:rPr>
        <w:t>：</w:t>
      </w:r>
      <w:r>
        <w:rPr>
          <w:rFonts w:hint="eastAsia" w:asciiTheme="minorEastAsia" w:hAnsiTheme="minorEastAsia" w:eastAsiaTheme="minorEastAsia" w:cstheme="minorEastAsia"/>
          <w:sz w:val="21"/>
          <w:szCs w:val="21"/>
          <w:highlight w:val="none"/>
          <w:u w:val="single"/>
          <w:lang w:val="en-US" w:eastAsia="zh-CN"/>
        </w:rPr>
        <w:t xml:space="preserve">       </w:t>
      </w:r>
      <w:r>
        <w:rPr>
          <w:rFonts w:hint="eastAsia" w:asciiTheme="minorEastAsia" w:hAnsiTheme="minorEastAsia" w:eastAsiaTheme="minorEastAsia" w:cstheme="minorEastAsia"/>
          <w:sz w:val="21"/>
          <w:szCs w:val="21"/>
          <w:highlight w:val="none"/>
          <w:lang w:val="en-US" w:eastAsia="zh-CN"/>
        </w:rPr>
        <w:t>批准：</w:t>
      </w:r>
      <w:r>
        <w:rPr>
          <w:rFonts w:hint="eastAsia" w:asciiTheme="minorEastAsia" w:hAnsiTheme="minorEastAsia" w:eastAsiaTheme="minorEastAsia" w:cstheme="minorEastAsia"/>
          <w:sz w:val="21"/>
          <w:szCs w:val="21"/>
          <w:highlight w:val="none"/>
          <w:u w:val="single"/>
          <w:lang w:val="en-US" w:eastAsia="zh-CN"/>
        </w:rPr>
        <w:t xml:space="preserve">       </w:t>
      </w:r>
      <w:r>
        <w:rPr>
          <w:rFonts w:hint="eastAsia" w:asciiTheme="minorEastAsia" w:hAnsiTheme="minorEastAsia" w:eastAsiaTheme="minorEastAsia" w:cstheme="minorEastAsia"/>
          <w:sz w:val="21"/>
          <w:szCs w:val="21"/>
          <w:highlight w:val="none"/>
          <w:lang w:val="en-US" w:eastAsia="zh-CN"/>
        </w:rPr>
        <w:t>日期：</w:t>
      </w:r>
      <w:r>
        <w:rPr>
          <w:rFonts w:hint="eastAsia" w:asciiTheme="minorEastAsia" w:hAnsiTheme="minorEastAsia" w:eastAsiaTheme="minorEastAsia" w:cstheme="minorEastAsia"/>
          <w:sz w:val="21"/>
          <w:szCs w:val="21"/>
          <w:highlight w:val="none"/>
          <w:u w:val="single"/>
          <w:lang w:val="en-US" w:eastAsia="zh-CN"/>
        </w:rPr>
        <w:t xml:space="preserve">       </w:t>
      </w:r>
    </w:p>
    <w:p w14:paraId="5A387A7F">
      <w:pPr>
        <w:shd w:val="clear"/>
        <w:jc w:val="center"/>
        <w:rPr>
          <w:rFonts w:hint="default" w:eastAsia="黑体" w:cs="Times New Roman"/>
          <w:sz w:val="21"/>
          <w:szCs w:val="21"/>
          <w:highlight w:val="none"/>
          <w:lang w:val="en-US" w:eastAsia="zh-CN"/>
        </w:rPr>
      </w:pPr>
      <w:r>
        <w:rPr>
          <w:rFonts w:hint="default" w:eastAsia="黑体" w:cs="Times New Roman"/>
          <w:sz w:val="21"/>
          <w:szCs w:val="21"/>
          <w:highlight w:val="none"/>
          <w:lang w:val="en-US" w:eastAsia="zh-CN"/>
        </w:rPr>
        <w:t>图</w:t>
      </w:r>
      <w:r>
        <w:rPr>
          <w:rFonts w:hint="eastAsia" w:eastAsia="黑体" w:cs="Times New Roman"/>
          <w:sz w:val="21"/>
          <w:szCs w:val="21"/>
          <w:highlight w:val="none"/>
          <w:lang w:val="en-US" w:eastAsia="zh-CN"/>
        </w:rPr>
        <w:t>A</w:t>
      </w:r>
      <w:r>
        <w:rPr>
          <w:rFonts w:hint="default" w:eastAsia="黑体" w:cs="Times New Roman"/>
          <w:sz w:val="21"/>
          <w:szCs w:val="21"/>
          <w:highlight w:val="none"/>
          <w:lang w:val="en-US" w:eastAsia="zh-CN"/>
        </w:rPr>
        <w:t>.</w:t>
      </w:r>
      <w:r>
        <w:rPr>
          <w:rFonts w:hint="eastAsia" w:eastAsia="黑体" w:cs="Times New Roman"/>
          <w:sz w:val="21"/>
          <w:szCs w:val="21"/>
          <w:highlight w:val="none"/>
          <w:lang w:val="en-US" w:eastAsia="zh-CN"/>
        </w:rPr>
        <w:t>2 b)</w:t>
      </w:r>
      <w:r>
        <w:rPr>
          <w:rFonts w:hint="default" w:eastAsia="黑体" w:cs="Times New Roman"/>
          <w:sz w:val="21"/>
          <w:szCs w:val="21"/>
          <w:highlight w:val="none"/>
          <w:lang w:val="en-US" w:eastAsia="zh-CN"/>
        </w:rPr>
        <w:t xml:space="preserve"> </w:t>
      </w:r>
      <w:r>
        <w:rPr>
          <w:rFonts w:hint="eastAsia" w:eastAsia="黑体" w:cs="Times New Roman"/>
          <w:sz w:val="21"/>
          <w:szCs w:val="21"/>
          <w:highlight w:val="none"/>
          <w:lang w:val="en-US" w:eastAsia="zh-CN"/>
        </w:rPr>
        <w:t>化石燃料碳计量器具配备及计量点网络图</w:t>
      </w:r>
      <w:r>
        <w:rPr>
          <w:rFonts w:hint="default" w:eastAsia="黑体" w:cs="Times New Roman"/>
          <w:sz w:val="21"/>
          <w:szCs w:val="21"/>
          <w:highlight w:val="none"/>
          <w:lang w:val="en-US" w:eastAsia="zh-CN"/>
        </w:rPr>
        <w:t>（参考件）</w:t>
      </w:r>
    </w:p>
    <w:p w14:paraId="5C4761BF">
      <w:pPr>
        <w:shd w:val="clear"/>
        <w:jc w:val="center"/>
        <w:rPr>
          <w:rFonts w:hint="default" w:ascii="Times New Roman" w:hAnsi="Times New Roman" w:eastAsia="黑体" w:cs="Times New Roman"/>
          <w:sz w:val="21"/>
          <w:szCs w:val="21"/>
          <w:highlight w:val="none"/>
          <w:lang w:val="en-US" w:eastAsia="zh-CN"/>
        </w:rPr>
      </w:pPr>
    </w:p>
    <w:p w14:paraId="2196EAEC">
      <w:pPr>
        <w:shd w:val="clear"/>
        <w:jc w:val="center"/>
        <w:rPr>
          <w:rFonts w:hint="default" w:ascii="Times New Roman" w:hAnsi="Times New Roman" w:eastAsia="黑体" w:cs="Times New Roman"/>
          <w:sz w:val="21"/>
          <w:szCs w:val="21"/>
          <w:highlight w:val="none"/>
          <w:lang w:val="en-US" w:eastAsia="zh-CN"/>
        </w:rPr>
      </w:pPr>
      <w:r>
        <w:drawing>
          <wp:inline distT="0" distB="0" distL="114300" distR="114300">
            <wp:extent cx="2715260" cy="3552190"/>
            <wp:effectExtent l="0" t="0" r="2540" b="3810"/>
            <wp:docPr id="16"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24"/>
                    <pic:cNvPicPr>
                      <a:picLocks noChangeAspect="1"/>
                    </pic:cNvPicPr>
                  </pic:nvPicPr>
                  <pic:blipFill>
                    <a:blip r:embed="rId30"/>
                    <a:stretch>
                      <a:fillRect/>
                    </a:stretch>
                  </pic:blipFill>
                  <pic:spPr>
                    <a:xfrm>
                      <a:off x="0" y="0"/>
                      <a:ext cx="2715260" cy="3552190"/>
                    </a:xfrm>
                    <a:prstGeom prst="rect">
                      <a:avLst/>
                    </a:prstGeom>
                    <a:noFill/>
                    <a:ln>
                      <a:noFill/>
                    </a:ln>
                  </pic:spPr>
                </pic:pic>
              </a:graphicData>
            </a:graphic>
          </wp:inline>
        </w:drawing>
      </w:r>
    </w:p>
    <w:p w14:paraId="007408C2">
      <w:pPr>
        <w:shd w:val="clear"/>
        <w:ind w:leftChars="0"/>
        <w:jc w:val="left"/>
        <w:rPr>
          <w:rFonts w:hint="eastAsia" w:asciiTheme="minorEastAsia" w:hAnsiTheme="minorEastAsia" w:eastAsiaTheme="minorEastAsia" w:cstheme="minorEastAsia"/>
          <w:sz w:val="21"/>
          <w:szCs w:val="21"/>
          <w:highlight w:val="none"/>
          <w:lang w:val="en-US" w:eastAsia="zh-CN"/>
        </w:rPr>
      </w:pPr>
      <w:r>
        <w:rPr>
          <w:rFonts w:hint="eastAsia" w:asciiTheme="minorEastAsia" w:hAnsiTheme="minorEastAsia" w:eastAsiaTheme="minorEastAsia" w:cstheme="minorEastAsia"/>
          <w:sz w:val="21"/>
          <w:szCs w:val="21"/>
          <w:highlight w:val="none"/>
          <w:lang w:val="en-US" w:eastAsia="zh-CN"/>
        </w:rPr>
        <w:t>编制：</w:t>
      </w:r>
      <w:r>
        <w:rPr>
          <w:rFonts w:hint="eastAsia" w:asciiTheme="minorEastAsia" w:hAnsiTheme="minorEastAsia" w:eastAsiaTheme="minorEastAsia" w:cstheme="minorEastAsia"/>
          <w:sz w:val="21"/>
          <w:szCs w:val="21"/>
          <w:highlight w:val="none"/>
          <w:u w:val="single"/>
          <w:lang w:val="en-US" w:eastAsia="zh-CN"/>
        </w:rPr>
        <w:t xml:space="preserve">       审核</w:t>
      </w:r>
      <w:r>
        <w:rPr>
          <w:rFonts w:hint="eastAsia" w:asciiTheme="minorEastAsia" w:hAnsiTheme="minorEastAsia" w:eastAsiaTheme="minorEastAsia" w:cstheme="minorEastAsia"/>
          <w:sz w:val="21"/>
          <w:szCs w:val="21"/>
          <w:highlight w:val="none"/>
          <w:lang w:val="en-US" w:eastAsia="zh-CN"/>
        </w:rPr>
        <w:t>：</w:t>
      </w:r>
      <w:r>
        <w:rPr>
          <w:rFonts w:hint="eastAsia" w:asciiTheme="minorEastAsia" w:hAnsiTheme="minorEastAsia" w:eastAsiaTheme="minorEastAsia" w:cstheme="minorEastAsia"/>
          <w:sz w:val="21"/>
          <w:szCs w:val="21"/>
          <w:highlight w:val="none"/>
          <w:u w:val="single"/>
          <w:lang w:val="en-US" w:eastAsia="zh-CN"/>
        </w:rPr>
        <w:t xml:space="preserve">       </w:t>
      </w:r>
      <w:r>
        <w:rPr>
          <w:rFonts w:hint="eastAsia" w:asciiTheme="minorEastAsia" w:hAnsiTheme="minorEastAsia" w:eastAsiaTheme="minorEastAsia" w:cstheme="minorEastAsia"/>
          <w:sz w:val="21"/>
          <w:szCs w:val="21"/>
          <w:highlight w:val="none"/>
          <w:lang w:val="en-US" w:eastAsia="zh-CN"/>
        </w:rPr>
        <w:t>批准：</w:t>
      </w:r>
      <w:r>
        <w:rPr>
          <w:rFonts w:hint="eastAsia" w:asciiTheme="minorEastAsia" w:hAnsiTheme="minorEastAsia" w:eastAsiaTheme="minorEastAsia" w:cstheme="minorEastAsia"/>
          <w:sz w:val="21"/>
          <w:szCs w:val="21"/>
          <w:highlight w:val="none"/>
          <w:u w:val="single"/>
          <w:lang w:val="en-US" w:eastAsia="zh-CN"/>
        </w:rPr>
        <w:t xml:space="preserve">       </w:t>
      </w:r>
      <w:r>
        <w:rPr>
          <w:rFonts w:hint="eastAsia" w:asciiTheme="minorEastAsia" w:hAnsiTheme="minorEastAsia" w:eastAsiaTheme="minorEastAsia" w:cstheme="minorEastAsia"/>
          <w:sz w:val="21"/>
          <w:szCs w:val="21"/>
          <w:highlight w:val="none"/>
          <w:lang w:val="en-US" w:eastAsia="zh-CN"/>
        </w:rPr>
        <w:t>日期：</w:t>
      </w:r>
      <w:r>
        <w:rPr>
          <w:rFonts w:hint="eastAsia" w:asciiTheme="minorEastAsia" w:hAnsiTheme="minorEastAsia" w:eastAsiaTheme="minorEastAsia" w:cstheme="minorEastAsia"/>
          <w:sz w:val="21"/>
          <w:szCs w:val="21"/>
          <w:highlight w:val="none"/>
          <w:u w:val="single"/>
          <w:lang w:val="en-US" w:eastAsia="zh-CN"/>
        </w:rPr>
        <w:t xml:space="preserve">       </w:t>
      </w:r>
    </w:p>
    <w:p w14:paraId="135D1A30">
      <w:pPr>
        <w:shd w:val="clear"/>
        <w:jc w:val="center"/>
        <w:rPr>
          <w:rFonts w:hint="default" w:eastAsia="黑体" w:cs="Times New Roman"/>
          <w:sz w:val="21"/>
          <w:szCs w:val="21"/>
          <w:highlight w:val="none"/>
          <w:lang w:val="en-US" w:eastAsia="zh-CN"/>
        </w:rPr>
      </w:pPr>
      <w:r>
        <w:rPr>
          <w:rFonts w:hint="default" w:eastAsia="黑体" w:cs="Times New Roman"/>
          <w:sz w:val="21"/>
          <w:szCs w:val="21"/>
          <w:highlight w:val="none"/>
          <w:lang w:val="en-US" w:eastAsia="zh-CN"/>
        </w:rPr>
        <w:t>图</w:t>
      </w:r>
      <w:r>
        <w:rPr>
          <w:rFonts w:hint="eastAsia" w:eastAsia="黑体" w:cs="Times New Roman"/>
          <w:sz w:val="21"/>
          <w:szCs w:val="21"/>
          <w:highlight w:val="none"/>
          <w:lang w:val="en-US" w:eastAsia="zh-CN"/>
        </w:rPr>
        <w:t>A</w:t>
      </w:r>
      <w:r>
        <w:rPr>
          <w:rFonts w:hint="default" w:eastAsia="黑体" w:cs="Times New Roman"/>
          <w:sz w:val="21"/>
          <w:szCs w:val="21"/>
          <w:highlight w:val="none"/>
          <w:lang w:val="en-US" w:eastAsia="zh-CN"/>
        </w:rPr>
        <w:t>.</w:t>
      </w:r>
      <w:r>
        <w:rPr>
          <w:rFonts w:hint="eastAsia" w:eastAsia="黑体" w:cs="Times New Roman"/>
          <w:sz w:val="21"/>
          <w:szCs w:val="21"/>
          <w:highlight w:val="none"/>
          <w:lang w:val="en-US" w:eastAsia="zh-CN"/>
        </w:rPr>
        <w:t>2 c)</w:t>
      </w:r>
      <w:r>
        <w:rPr>
          <w:rFonts w:hint="default" w:eastAsia="黑体" w:cs="Times New Roman"/>
          <w:sz w:val="21"/>
          <w:szCs w:val="21"/>
          <w:highlight w:val="none"/>
          <w:lang w:val="en-US" w:eastAsia="zh-CN"/>
        </w:rPr>
        <w:t xml:space="preserve"> </w:t>
      </w:r>
      <w:r>
        <w:rPr>
          <w:rFonts w:hint="eastAsia" w:eastAsia="黑体" w:cs="Times New Roman"/>
          <w:sz w:val="21"/>
          <w:szCs w:val="21"/>
          <w:highlight w:val="none"/>
          <w:lang w:val="en-US" w:eastAsia="zh-CN"/>
        </w:rPr>
        <w:t>外购热（冷）能碳计量器具配备及计量点网络图</w:t>
      </w:r>
      <w:r>
        <w:rPr>
          <w:rFonts w:hint="default" w:eastAsia="黑体" w:cs="Times New Roman"/>
          <w:sz w:val="21"/>
          <w:szCs w:val="21"/>
          <w:highlight w:val="none"/>
          <w:lang w:val="en-US" w:eastAsia="zh-CN"/>
        </w:rPr>
        <w:t>（参考件）</w:t>
      </w:r>
    </w:p>
    <w:p w14:paraId="48300080">
      <w:pPr>
        <w:ind w:firstLine="0" w:firstLineChars="0"/>
        <w:rPr>
          <w:rFonts w:hint="default" w:ascii="Times New Roman" w:hAnsi="Times New Roman" w:cs="Times New Roman"/>
          <w:color w:val="auto"/>
          <w:szCs w:val="28"/>
        </w:rPr>
      </w:pPr>
      <w:r>
        <w:rPr>
          <w:rFonts w:hint="default" w:ascii="Times New Roman" w:hAnsi="Times New Roman" w:cs="Times New Roman"/>
          <w:color w:val="auto"/>
          <w:szCs w:val="28"/>
        </w:rPr>
        <w:br w:type="page"/>
      </w:r>
    </w:p>
    <w:p w14:paraId="7BCC2FFF">
      <w:pPr>
        <w:pStyle w:val="3"/>
        <w:jc w:val="left"/>
        <w:rPr>
          <w:rFonts w:hint="default" w:ascii="Times New Roman" w:hAnsi="Times New Roman" w:cs="Times New Roman"/>
          <w:bCs w:val="0"/>
          <w:color w:val="auto"/>
          <w:szCs w:val="24"/>
        </w:rPr>
      </w:pPr>
      <w:bookmarkStart w:id="111" w:name="_Toc21754"/>
      <w:bookmarkStart w:id="112" w:name="_Toc4098"/>
      <w:bookmarkStart w:id="113" w:name="_Toc23036"/>
      <w:bookmarkStart w:id="114" w:name="_Toc8629"/>
      <w:r>
        <w:rPr>
          <w:rFonts w:hint="default" w:ascii="Times New Roman" w:hAnsi="Times New Roman" w:cs="Times New Roman"/>
          <w:bCs w:val="0"/>
          <w:color w:val="auto"/>
          <w:szCs w:val="24"/>
        </w:rPr>
        <w:t>附录B</w:t>
      </w:r>
      <w:bookmarkEnd w:id="111"/>
      <w:bookmarkEnd w:id="112"/>
      <w:bookmarkEnd w:id="113"/>
      <w:bookmarkEnd w:id="114"/>
    </w:p>
    <w:p w14:paraId="22D0801C">
      <w:pPr>
        <w:jc w:val="center"/>
        <w:rPr>
          <w:rFonts w:hint="default" w:ascii="Times New Roman" w:hAnsi="Times New Roman" w:eastAsia="黑体" w:cs="Times New Roman"/>
          <w:color w:val="auto"/>
          <w:sz w:val="21"/>
          <w:szCs w:val="21"/>
        </w:rPr>
      </w:pPr>
      <w:r>
        <w:rPr>
          <w:rFonts w:hint="default" w:ascii="Times New Roman" w:hAnsi="Times New Roman" w:eastAsia="黑体" w:cs="Times New Roman"/>
          <w:color w:val="auto"/>
          <w:sz w:val="21"/>
          <w:szCs w:val="21"/>
        </w:rPr>
        <w:t>表</w:t>
      </w:r>
      <w:r>
        <w:rPr>
          <w:rFonts w:hint="eastAsia" w:eastAsia="黑体" w:cs="Times New Roman"/>
          <w:color w:val="auto"/>
          <w:sz w:val="21"/>
          <w:szCs w:val="21"/>
          <w:lang w:val="en-US" w:eastAsia="zh-CN"/>
        </w:rPr>
        <w:t>B</w:t>
      </w:r>
      <w:r>
        <w:rPr>
          <w:rFonts w:hint="default" w:ascii="Times New Roman" w:hAnsi="Times New Roman" w:eastAsia="黑体" w:cs="Times New Roman"/>
          <w:color w:val="auto"/>
          <w:sz w:val="21"/>
          <w:szCs w:val="21"/>
        </w:rPr>
        <w:t>.</w:t>
      </w:r>
      <w:r>
        <w:rPr>
          <w:rFonts w:hint="eastAsia" w:eastAsia="黑体" w:cs="Times New Roman"/>
          <w:color w:val="auto"/>
          <w:sz w:val="21"/>
          <w:szCs w:val="21"/>
          <w:lang w:val="en-US" w:eastAsia="zh-CN"/>
        </w:rPr>
        <w:t>1</w:t>
      </w:r>
      <w:r>
        <w:rPr>
          <w:rFonts w:hint="default" w:ascii="Times New Roman" w:hAnsi="Times New Roman" w:eastAsia="黑体" w:cs="Times New Roman"/>
          <w:color w:val="auto"/>
          <w:sz w:val="21"/>
          <w:szCs w:val="21"/>
        </w:rPr>
        <w:t xml:space="preserve"> </w:t>
      </w:r>
      <w:r>
        <w:rPr>
          <w:rFonts w:hint="eastAsia" w:eastAsia="黑体" w:cs="Times New Roman"/>
          <w:color w:val="auto"/>
          <w:sz w:val="21"/>
          <w:szCs w:val="21"/>
          <w:lang w:eastAsia="zh-CN"/>
        </w:rPr>
        <w:t>排放因子</w:t>
      </w:r>
      <w:r>
        <w:rPr>
          <w:rFonts w:hint="default" w:ascii="Times New Roman" w:hAnsi="Times New Roman" w:eastAsia="黑体" w:cs="Times New Roman"/>
          <w:color w:val="auto"/>
          <w:sz w:val="21"/>
          <w:szCs w:val="21"/>
        </w:rPr>
        <w:t>置信度等级</w:t>
      </w:r>
    </w:p>
    <w:tbl>
      <w:tblPr>
        <w:tblStyle w:val="19"/>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468"/>
        <w:gridCol w:w="1406"/>
        <w:gridCol w:w="5433"/>
        <w:gridCol w:w="1059"/>
      </w:tblGrid>
      <w:tr w14:paraId="1315B5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10" w:hRule="atLeast"/>
        </w:trPr>
        <w:tc>
          <w:tcPr>
            <w:tcW w:w="308" w:type="pct"/>
            <w:shd w:val="clear" w:color="auto" w:fill="auto"/>
            <w:tcMar>
              <w:top w:w="20" w:type="dxa"/>
              <w:left w:w="30" w:type="dxa"/>
              <w:bottom w:w="20" w:type="dxa"/>
              <w:right w:w="30" w:type="dxa"/>
            </w:tcMar>
            <w:vAlign w:val="center"/>
          </w:tcPr>
          <w:p w14:paraId="4FD0AF13">
            <w:pPr>
              <w:widowControl/>
              <w:spacing w:line="240" w:lineRule="auto"/>
              <w:jc w:val="center"/>
              <w:textAlignment w:val="auto"/>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lang w:bidi="ar"/>
              </w:rPr>
              <w:t>序号</w:t>
            </w:r>
          </w:p>
        </w:tc>
        <w:tc>
          <w:tcPr>
            <w:tcW w:w="868" w:type="pct"/>
            <w:shd w:val="clear" w:color="auto" w:fill="auto"/>
            <w:tcMar>
              <w:top w:w="20" w:type="dxa"/>
              <w:left w:w="30" w:type="dxa"/>
              <w:bottom w:w="20" w:type="dxa"/>
              <w:right w:w="30" w:type="dxa"/>
            </w:tcMar>
            <w:vAlign w:val="center"/>
          </w:tcPr>
          <w:p w14:paraId="2FD848C4">
            <w:pPr>
              <w:widowControl/>
              <w:spacing w:line="240" w:lineRule="auto"/>
              <w:jc w:val="center"/>
              <w:textAlignment w:val="auto"/>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lang w:bidi="ar"/>
              </w:rPr>
              <w:t>排放因子名称</w:t>
            </w:r>
          </w:p>
        </w:tc>
        <w:tc>
          <w:tcPr>
            <w:tcW w:w="3273" w:type="pct"/>
            <w:shd w:val="clear" w:color="auto" w:fill="auto"/>
            <w:tcMar>
              <w:top w:w="20" w:type="dxa"/>
              <w:left w:w="30" w:type="dxa"/>
              <w:bottom w:w="20" w:type="dxa"/>
              <w:right w:w="30" w:type="dxa"/>
            </w:tcMar>
            <w:vAlign w:val="center"/>
          </w:tcPr>
          <w:p w14:paraId="26C45972">
            <w:pPr>
              <w:widowControl/>
              <w:spacing w:line="240" w:lineRule="auto"/>
              <w:jc w:val="center"/>
              <w:textAlignment w:val="auto"/>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lang w:bidi="ar"/>
              </w:rPr>
              <w:t>数据来源 (按优先级由高到低列出)</w:t>
            </w:r>
          </w:p>
        </w:tc>
        <w:tc>
          <w:tcPr>
            <w:tcW w:w="548" w:type="pct"/>
            <w:shd w:val="clear" w:color="auto" w:fill="auto"/>
            <w:tcMar>
              <w:top w:w="20" w:type="dxa"/>
              <w:left w:w="30" w:type="dxa"/>
              <w:bottom w:w="20" w:type="dxa"/>
              <w:right w:w="30" w:type="dxa"/>
            </w:tcMar>
            <w:vAlign w:val="center"/>
          </w:tcPr>
          <w:p w14:paraId="4909C105">
            <w:pPr>
              <w:widowControl/>
              <w:spacing w:line="240" w:lineRule="auto"/>
              <w:jc w:val="center"/>
              <w:textAlignment w:val="auto"/>
              <w:rPr>
                <w:rFonts w:hint="default" w:ascii="Times New Roman" w:hAnsi="Times New Roman" w:cs="Times New Roman"/>
                <w:color w:val="auto"/>
                <w:kern w:val="0"/>
                <w:sz w:val="21"/>
                <w:szCs w:val="21"/>
                <w:lang w:bidi="ar"/>
              </w:rPr>
            </w:pPr>
            <w:r>
              <w:rPr>
                <w:rFonts w:hint="default" w:ascii="Times New Roman" w:hAnsi="Times New Roman" w:cs="Times New Roman"/>
                <w:color w:val="auto"/>
                <w:kern w:val="0"/>
                <w:sz w:val="21"/>
                <w:szCs w:val="21"/>
                <w:lang w:bidi="ar"/>
              </w:rPr>
              <w:t>数据</w:t>
            </w:r>
          </w:p>
          <w:p w14:paraId="70DD169B">
            <w:pPr>
              <w:widowControl/>
              <w:spacing w:line="240" w:lineRule="auto"/>
              <w:jc w:val="center"/>
              <w:textAlignment w:val="auto"/>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lang w:bidi="ar"/>
              </w:rPr>
              <w:t>优先级</w:t>
            </w:r>
          </w:p>
        </w:tc>
      </w:tr>
      <w:tr w14:paraId="7A4F86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10" w:hRule="atLeast"/>
        </w:trPr>
        <w:tc>
          <w:tcPr>
            <w:tcW w:w="308" w:type="pct"/>
            <w:shd w:val="clear" w:color="auto" w:fill="auto"/>
            <w:tcMar>
              <w:top w:w="20" w:type="dxa"/>
              <w:left w:w="30" w:type="dxa"/>
              <w:bottom w:w="20" w:type="dxa"/>
              <w:right w:w="30" w:type="dxa"/>
            </w:tcMar>
            <w:vAlign w:val="center"/>
          </w:tcPr>
          <w:p w14:paraId="7079F464">
            <w:pPr>
              <w:widowControl/>
              <w:spacing w:line="240" w:lineRule="auto"/>
              <w:jc w:val="center"/>
              <w:textAlignment w:val="auto"/>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lang w:bidi="ar"/>
              </w:rPr>
              <w:t>1</w:t>
            </w:r>
          </w:p>
        </w:tc>
        <w:tc>
          <w:tcPr>
            <w:tcW w:w="868" w:type="pct"/>
            <w:shd w:val="clear" w:color="auto" w:fill="auto"/>
            <w:tcMar>
              <w:top w:w="20" w:type="dxa"/>
              <w:left w:w="30" w:type="dxa"/>
              <w:bottom w:w="20" w:type="dxa"/>
              <w:right w:w="30" w:type="dxa"/>
            </w:tcMar>
            <w:vAlign w:val="center"/>
          </w:tcPr>
          <w:p w14:paraId="7B629242">
            <w:pPr>
              <w:widowControl/>
              <w:spacing w:line="240" w:lineRule="auto"/>
              <w:jc w:val="both"/>
              <w:textAlignment w:val="auto"/>
              <w:rPr>
                <w:rFonts w:hint="eastAsia" w:ascii="Times New Roman" w:hAnsi="Times New Roman" w:eastAsia="宋体" w:cs="Times New Roman"/>
                <w:color w:val="auto"/>
                <w:kern w:val="0"/>
                <w:sz w:val="21"/>
                <w:szCs w:val="21"/>
                <w:lang w:eastAsia="zh-CN"/>
              </w:rPr>
            </w:pPr>
            <w:r>
              <w:rPr>
                <w:rFonts w:hint="default" w:ascii="Times New Roman" w:hAnsi="Times New Roman" w:cs="Times New Roman"/>
                <w:color w:val="auto"/>
                <w:kern w:val="0"/>
                <w:sz w:val="21"/>
                <w:szCs w:val="21"/>
                <w:lang w:bidi="ar"/>
              </w:rPr>
              <w:t>外购电力</w:t>
            </w:r>
            <w:r>
              <w:rPr>
                <w:rFonts w:hint="eastAsia" w:cs="Times New Roman"/>
                <w:color w:val="auto"/>
                <w:kern w:val="0"/>
                <w:sz w:val="21"/>
                <w:szCs w:val="21"/>
                <w:lang w:eastAsia="zh-CN" w:bidi="ar"/>
              </w:rPr>
              <w:t>排放因子</w:t>
            </w:r>
          </w:p>
        </w:tc>
        <w:tc>
          <w:tcPr>
            <w:tcW w:w="3273" w:type="pct"/>
            <w:shd w:val="clear" w:color="auto" w:fill="auto"/>
            <w:tcMar>
              <w:top w:w="20" w:type="dxa"/>
              <w:left w:w="30" w:type="dxa"/>
              <w:bottom w:w="20" w:type="dxa"/>
              <w:right w:w="30" w:type="dxa"/>
            </w:tcMar>
            <w:vAlign w:val="center"/>
          </w:tcPr>
          <w:p w14:paraId="65E8E25A">
            <w:pPr>
              <w:widowControl/>
              <w:numPr>
                <w:ilvl w:val="0"/>
                <w:numId w:val="1"/>
              </w:numPr>
              <w:spacing w:line="240" w:lineRule="auto"/>
              <w:jc w:val="both"/>
              <w:textAlignment w:val="auto"/>
              <w:rPr>
                <w:rFonts w:hint="default" w:ascii="Times New Roman" w:hAnsi="Times New Roman" w:cs="Times New Roman"/>
                <w:color w:val="auto"/>
                <w:kern w:val="0"/>
                <w:sz w:val="21"/>
                <w:szCs w:val="21"/>
                <w:lang w:bidi="ar"/>
              </w:rPr>
            </w:pPr>
            <w:r>
              <w:rPr>
                <w:rFonts w:hint="default" w:ascii="Times New Roman" w:hAnsi="Times New Roman" w:cs="Times New Roman"/>
                <w:color w:val="auto"/>
                <w:kern w:val="0"/>
                <w:sz w:val="21"/>
                <w:szCs w:val="21"/>
                <w:lang w:bidi="ar"/>
              </w:rPr>
              <w:t>构件工厂所在区域/省级电网最新年度</w:t>
            </w:r>
            <w:r>
              <w:rPr>
                <w:rFonts w:hint="eastAsia" w:cs="Times New Roman"/>
                <w:color w:val="auto"/>
                <w:kern w:val="0"/>
                <w:sz w:val="21"/>
                <w:szCs w:val="21"/>
                <w:lang w:eastAsia="zh-CN" w:bidi="ar"/>
              </w:rPr>
              <w:t>排放因子</w:t>
            </w:r>
            <w:r>
              <w:rPr>
                <w:rFonts w:hint="default" w:ascii="Times New Roman" w:hAnsi="Times New Roman" w:cs="Times New Roman"/>
                <w:color w:val="auto"/>
                <w:kern w:val="0"/>
                <w:sz w:val="21"/>
                <w:szCs w:val="21"/>
                <w:lang w:bidi="ar"/>
              </w:rPr>
              <w:t>；</w:t>
            </w:r>
          </w:p>
          <w:p w14:paraId="3C73BA07">
            <w:pPr>
              <w:widowControl/>
              <w:numPr>
                <w:ilvl w:val="0"/>
                <w:numId w:val="1"/>
              </w:numPr>
              <w:spacing w:line="240" w:lineRule="auto"/>
              <w:jc w:val="both"/>
              <w:textAlignment w:val="auto"/>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lang w:bidi="ar"/>
              </w:rPr>
              <w:t>全国电网最新年度平均</w:t>
            </w:r>
            <w:r>
              <w:rPr>
                <w:rFonts w:hint="eastAsia" w:cs="Times New Roman"/>
                <w:color w:val="auto"/>
                <w:kern w:val="0"/>
                <w:sz w:val="21"/>
                <w:szCs w:val="21"/>
                <w:lang w:eastAsia="zh-CN" w:bidi="ar"/>
              </w:rPr>
              <w:t>排放因子</w:t>
            </w:r>
            <w:r>
              <w:rPr>
                <w:rFonts w:hint="default" w:ascii="Times New Roman" w:hAnsi="Times New Roman" w:cs="Times New Roman"/>
                <w:color w:val="auto"/>
                <w:kern w:val="0"/>
                <w:sz w:val="21"/>
                <w:szCs w:val="21"/>
                <w:lang w:bidi="ar"/>
              </w:rPr>
              <w:t>；</w:t>
            </w:r>
          </w:p>
          <w:p w14:paraId="240A4281">
            <w:pPr>
              <w:widowControl/>
              <w:numPr>
                <w:ilvl w:val="0"/>
                <w:numId w:val="1"/>
              </w:numPr>
              <w:spacing w:line="240" w:lineRule="auto"/>
              <w:jc w:val="both"/>
              <w:textAlignment w:val="auto"/>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lang w:bidi="ar"/>
              </w:rPr>
              <w:t>若为特定供电商（如直供电厂）且能提供经核查的电力排放因子（需有合同等可靠性证明文件）</w:t>
            </w:r>
            <w:r>
              <w:rPr>
                <w:rFonts w:hint="default" w:ascii="Times New Roman" w:hAnsi="Times New Roman" w:cs="Times New Roman"/>
                <w:color w:val="auto"/>
                <w:kern w:val="0"/>
                <w:sz w:val="21"/>
                <w:szCs w:val="21"/>
                <w:lang w:eastAsia="zh-CN" w:bidi="ar"/>
              </w:rPr>
              <w:t>；</w:t>
            </w:r>
          </w:p>
          <w:p w14:paraId="1787F4ED">
            <w:pPr>
              <w:widowControl/>
              <w:numPr>
                <w:ilvl w:val="0"/>
                <w:numId w:val="1"/>
              </w:numPr>
              <w:spacing w:line="240" w:lineRule="auto"/>
              <w:jc w:val="both"/>
              <w:textAlignment w:val="auto"/>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lang w:val="en-US" w:eastAsia="zh-CN" w:bidi="ar"/>
              </w:rPr>
              <w:t>国内权威机构建设基础数据库或公开发表的学术论文。</w:t>
            </w:r>
          </w:p>
        </w:tc>
        <w:tc>
          <w:tcPr>
            <w:tcW w:w="548" w:type="pct"/>
            <w:shd w:val="clear" w:color="auto" w:fill="auto"/>
            <w:tcMar>
              <w:top w:w="20" w:type="dxa"/>
              <w:left w:w="30" w:type="dxa"/>
              <w:bottom w:w="20" w:type="dxa"/>
              <w:right w:w="30" w:type="dxa"/>
            </w:tcMar>
            <w:vAlign w:val="center"/>
          </w:tcPr>
          <w:p w14:paraId="509B14F0">
            <w:pPr>
              <w:widowControl/>
              <w:spacing w:line="240" w:lineRule="auto"/>
              <w:jc w:val="center"/>
              <w:textAlignment w:val="auto"/>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lang w:bidi="ar"/>
              </w:rPr>
              <w:t>1&gt;2&gt;3&gt;</w:t>
            </w:r>
            <w:r>
              <w:rPr>
                <w:rFonts w:hint="default" w:ascii="Times New Roman" w:hAnsi="Times New Roman" w:cs="Times New Roman"/>
                <w:color w:val="auto"/>
                <w:kern w:val="0"/>
                <w:sz w:val="21"/>
                <w:szCs w:val="21"/>
                <w:lang w:val="en-US" w:eastAsia="zh-CN" w:bidi="ar"/>
              </w:rPr>
              <w:t>4</w:t>
            </w:r>
          </w:p>
        </w:tc>
      </w:tr>
      <w:tr w14:paraId="665E5E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10" w:hRule="atLeast"/>
        </w:trPr>
        <w:tc>
          <w:tcPr>
            <w:tcW w:w="308" w:type="pct"/>
            <w:shd w:val="clear" w:color="auto" w:fill="auto"/>
            <w:tcMar>
              <w:top w:w="20" w:type="dxa"/>
              <w:left w:w="30" w:type="dxa"/>
              <w:bottom w:w="20" w:type="dxa"/>
              <w:right w:w="30" w:type="dxa"/>
            </w:tcMar>
            <w:vAlign w:val="center"/>
          </w:tcPr>
          <w:p w14:paraId="01B32FD1">
            <w:pPr>
              <w:widowControl/>
              <w:spacing w:line="240" w:lineRule="auto"/>
              <w:jc w:val="center"/>
              <w:textAlignment w:val="auto"/>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lang w:bidi="ar"/>
              </w:rPr>
              <w:t>2</w:t>
            </w:r>
          </w:p>
        </w:tc>
        <w:tc>
          <w:tcPr>
            <w:tcW w:w="868" w:type="pct"/>
            <w:shd w:val="clear" w:color="auto" w:fill="auto"/>
            <w:tcMar>
              <w:top w:w="20" w:type="dxa"/>
              <w:left w:w="30" w:type="dxa"/>
              <w:bottom w:w="20" w:type="dxa"/>
              <w:right w:w="30" w:type="dxa"/>
            </w:tcMar>
            <w:vAlign w:val="center"/>
          </w:tcPr>
          <w:p w14:paraId="79181588">
            <w:pPr>
              <w:widowControl/>
              <w:spacing w:line="240" w:lineRule="auto"/>
              <w:jc w:val="both"/>
              <w:textAlignment w:val="auto"/>
              <w:rPr>
                <w:rFonts w:hint="eastAsia" w:ascii="Times New Roman" w:hAnsi="Times New Roman" w:eastAsia="宋体" w:cs="Times New Roman"/>
                <w:color w:val="auto"/>
                <w:kern w:val="0"/>
                <w:sz w:val="21"/>
                <w:szCs w:val="21"/>
                <w:lang w:eastAsia="zh-CN"/>
              </w:rPr>
            </w:pPr>
            <w:r>
              <w:rPr>
                <w:rFonts w:hint="default" w:ascii="Times New Roman" w:hAnsi="Times New Roman" w:cs="Times New Roman"/>
                <w:color w:val="auto"/>
                <w:kern w:val="0"/>
                <w:sz w:val="21"/>
                <w:szCs w:val="21"/>
                <w:lang w:bidi="ar"/>
              </w:rPr>
              <w:t>天然气燃烧</w:t>
            </w:r>
            <w:r>
              <w:rPr>
                <w:rFonts w:hint="eastAsia" w:cs="Times New Roman"/>
                <w:color w:val="auto"/>
                <w:kern w:val="0"/>
                <w:sz w:val="21"/>
                <w:szCs w:val="21"/>
                <w:lang w:eastAsia="zh-CN" w:bidi="ar"/>
              </w:rPr>
              <w:t>排放因子</w:t>
            </w:r>
          </w:p>
        </w:tc>
        <w:tc>
          <w:tcPr>
            <w:tcW w:w="3273" w:type="pct"/>
            <w:shd w:val="clear" w:color="auto" w:fill="auto"/>
            <w:tcMar>
              <w:top w:w="20" w:type="dxa"/>
              <w:left w:w="30" w:type="dxa"/>
              <w:bottom w:w="20" w:type="dxa"/>
              <w:right w:w="30" w:type="dxa"/>
            </w:tcMar>
            <w:vAlign w:val="center"/>
          </w:tcPr>
          <w:p w14:paraId="7B898C6F">
            <w:pPr>
              <w:widowControl/>
              <w:spacing w:line="240" w:lineRule="auto"/>
              <w:jc w:val="both"/>
              <w:textAlignment w:val="auto"/>
              <w:rPr>
                <w:rFonts w:hint="default" w:ascii="Times New Roman" w:hAnsi="Times New Roman" w:cs="Times New Roman"/>
                <w:color w:val="auto"/>
                <w:kern w:val="0"/>
                <w:sz w:val="21"/>
                <w:szCs w:val="21"/>
                <w:lang w:bidi="ar"/>
              </w:rPr>
            </w:pPr>
            <w:r>
              <w:rPr>
                <w:rFonts w:hint="default" w:ascii="Times New Roman" w:hAnsi="Times New Roman" w:cs="Times New Roman"/>
                <w:color w:val="auto"/>
                <w:kern w:val="0"/>
                <w:sz w:val="21"/>
                <w:szCs w:val="21"/>
                <w:lang w:bidi="ar"/>
              </w:rPr>
              <w:t>1.基于构件工厂实际使用天然气的组分分析报告和实测低位发热值（NCV），依据国家推荐方法计算所得因子；</w:t>
            </w:r>
          </w:p>
          <w:p w14:paraId="3805B5E3">
            <w:pPr>
              <w:widowControl/>
              <w:spacing w:line="240" w:lineRule="auto"/>
              <w:jc w:val="both"/>
              <w:textAlignment w:val="auto"/>
              <w:rPr>
                <w:rFonts w:hint="default" w:ascii="Times New Roman" w:hAnsi="Times New Roman" w:cs="Times New Roman"/>
                <w:color w:val="auto"/>
                <w:kern w:val="0"/>
                <w:sz w:val="21"/>
                <w:szCs w:val="21"/>
                <w:lang w:bidi="ar"/>
              </w:rPr>
            </w:pPr>
            <w:r>
              <w:rPr>
                <w:rFonts w:hint="default" w:ascii="Times New Roman" w:hAnsi="Times New Roman" w:cs="Times New Roman"/>
                <w:color w:val="auto"/>
                <w:kern w:val="0"/>
                <w:sz w:val="21"/>
                <w:szCs w:val="21"/>
                <w:lang w:bidi="ar"/>
              </w:rPr>
              <w:t>2.天然气供应商提供的可验证的燃料特性数据（如碳含量、NCV）计算所得因子；</w:t>
            </w:r>
          </w:p>
          <w:p w14:paraId="6DD5A780">
            <w:pPr>
              <w:widowControl/>
              <w:spacing w:line="240" w:lineRule="auto"/>
              <w:jc w:val="both"/>
              <w:textAlignment w:val="auto"/>
              <w:rPr>
                <w:rFonts w:hint="default" w:ascii="Times New Roman" w:hAnsi="Times New Roman" w:cs="Times New Roman"/>
                <w:color w:val="auto"/>
                <w:kern w:val="0"/>
                <w:sz w:val="21"/>
                <w:szCs w:val="21"/>
                <w:lang w:eastAsia="zh-CN" w:bidi="ar"/>
              </w:rPr>
            </w:pPr>
            <w:r>
              <w:rPr>
                <w:rFonts w:hint="default" w:ascii="Times New Roman" w:hAnsi="Times New Roman" w:cs="Times New Roman"/>
                <w:color w:val="auto"/>
                <w:kern w:val="0"/>
                <w:sz w:val="21"/>
                <w:szCs w:val="21"/>
                <w:lang w:bidi="ar"/>
              </w:rPr>
              <w:t>3.国家/行业推荐缺省值</w:t>
            </w:r>
            <w:r>
              <w:rPr>
                <w:rFonts w:hint="default" w:ascii="Times New Roman" w:hAnsi="Times New Roman" w:cs="Times New Roman"/>
                <w:color w:val="auto"/>
                <w:kern w:val="0"/>
                <w:sz w:val="21"/>
                <w:szCs w:val="21"/>
                <w:lang w:eastAsia="zh-CN" w:bidi="ar"/>
              </w:rPr>
              <w:t>；</w:t>
            </w:r>
          </w:p>
          <w:p w14:paraId="41528EC5">
            <w:pPr>
              <w:widowControl/>
              <w:spacing w:line="240" w:lineRule="auto"/>
              <w:jc w:val="both"/>
              <w:textAlignment w:val="auto"/>
              <w:rPr>
                <w:rFonts w:hint="default" w:ascii="Times New Roman" w:hAnsi="Times New Roman" w:cs="Times New Roman"/>
                <w:color w:val="auto"/>
                <w:kern w:val="0"/>
                <w:sz w:val="21"/>
                <w:szCs w:val="21"/>
                <w:lang w:bidi="ar"/>
              </w:rPr>
            </w:pPr>
            <w:r>
              <w:rPr>
                <w:rFonts w:hint="default" w:ascii="Times New Roman" w:hAnsi="Times New Roman" w:cs="Times New Roman"/>
                <w:color w:val="auto"/>
                <w:kern w:val="0"/>
                <w:sz w:val="21"/>
                <w:szCs w:val="21"/>
                <w:lang w:val="en-US" w:eastAsia="zh-CN" w:bidi="ar"/>
              </w:rPr>
              <w:t>4.国内权威机构建设基础数据库或公开发表的学术论文。</w:t>
            </w:r>
          </w:p>
        </w:tc>
        <w:tc>
          <w:tcPr>
            <w:tcW w:w="548" w:type="pct"/>
            <w:shd w:val="clear" w:color="auto" w:fill="auto"/>
            <w:tcMar>
              <w:top w:w="20" w:type="dxa"/>
              <w:left w:w="30" w:type="dxa"/>
              <w:bottom w:w="20" w:type="dxa"/>
              <w:right w:w="30" w:type="dxa"/>
            </w:tcMar>
            <w:vAlign w:val="center"/>
          </w:tcPr>
          <w:p w14:paraId="61CB3E00">
            <w:pPr>
              <w:widowControl/>
              <w:spacing w:line="240" w:lineRule="auto"/>
              <w:jc w:val="center"/>
              <w:textAlignment w:val="auto"/>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lang w:bidi="ar"/>
              </w:rPr>
              <w:t>1&gt;2&gt;3&gt;</w:t>
            </w:r>
            <w:r>
              <w:rPr>
                <w:rFonts w:hint="default" w:ascii="Times New Roman" w:hAnsi="Times New Roman" w:cs="Times New Roman"/>
                <w:color w:val="auto"/>
                <w:kern w:val="0"/>
                <w:sz w:val="21"/>
                <w:szCs w:val="21"/>
                <w:lang w:eastAsia="zh-CN" w:bidi="ar"/>
              </w:rPr>
              <w:t>4</w:t>
            </w:r>
          </w:p>
        </w:tc>
      </w:tr>
      <w:tr w14:paraId="50A532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10" w:hRule="atLeast"/>
        </w:trPr>
        <w:tc>
          <w:tcPr>
            <w:tcW w:w="308" w:type="pct"/>
            <w:shd w:val="clear" w:color="auto" w:fill="auto"/>
            <w:tcMar>
              <w:top w:w="20" w:type="dxa"/>
              <w:left w:w="30" w:type="dxa"/>
              <w:bottom w:w="20" w:type="dxa"/>
              <w:right w:w="30" w:type="dxa"/>
            </w:tcMar>
            <w:vAlign w:val="center"/>
          </w:tcPr>
          <w:p w14:paraId="6CFCD18C">
            <w:pPr>
              <w:widowControl/>
              <w:spacing w:line="240" w:lineRule="auto"/>
              <w:jc w:val="center"/>
              <w:textAlignment w:val="auto"/>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lang w:bidi="ar"/>
              </w:rPr>
              <w:t>3</w:t>
            </w:r>
          </w:p>
        </w:tc>
        <w:tc>
          <w:tcPr>
            <w:tcW w:w="868" w:type="pct"/>
            <w:shd w:val="clear" w:color="auto" w:fill="auto"/>
            <w:tcMar>
              <w:top w:w="20" w:type="dxa"/>
              <w:left w:w="30" w:type="dxa"/>
              <w:bottom w:w="20" w:type="dxa"/>
              <w:right w:w="30" w:type="dxa"/>
            </w:tcMar>
            <w:vAlign w:val="center"/>
          </w:tcPr>
          <w:p w14:paraId="59C1CC3A">
            <w:pPr>
              <w:widowControl/>
              <w:spacing w:line="240" w:lineRule="auto"/>
              <w:jc w:val="both"/>
              <w:textAlignment w:val="auto"/>
              <w:rPr>
                <w:rFonts w:hint="eastAsia" w:ascii="Times New Roman" w:hAnsi="Times New Roman" w:eastAsia="宋体" w:cs="Times New Roman"/>
                <w:color w:val="auto"/>
                <w:kern w:val="0"/>
                <w:sz w:val="21"/>
                <w:szCs w:val="21"/>
                <w:lang w:eastAsia="zh-CN"/>
              </w:rPr>
            </w:pPr>
            <w:r>
              <w:rPr>
                <w:rFonts w:hint="default" w:ascii="Times New Roman" w:hAnsi="Times New Roman" w:cs="Times New Roman"/>
                <w:color w:val="auto"/>
                <w:kern w:val="0"/>
                <w:sz w:val="21"/>
                <w:szCs w:val="21"/>
                <w:lang w:bidi="ar"/>
              </w:rPr>
              <w:t>柴油燃烧</w:t>
            </w:r>
            <w:r>
              <w:rPr>
                <w:rFonts w:hint="eastAsia" w:cs="Times New Roman"/>
                <w:color w:val="auto"/>
                <w:kern w:val="0"/>
                <w:sz w:val="21"/>
                <w:szCs w:val="21"/>
                <w:lang w:eastAsia="zh-CN" w:bidi="ar"/>
              </w:rPr>
              <w:t>排放因子</w:t>
            </w:r>
          </w:p>
        </w:tc>
        <w:tc>
          <w:tcPr>
            <w:tcW w:w="3273" w:type="pct"/>
            <w:shd w:val="clear" w:color="auto" w:fill="auto"/>
            <w:tcMar>
              <w:top w:w="20" w:type="dxa"/>
              <w:left w:w="30" w:type="dxa"/>
              <w:bottom w:w="20" w:type="dxa"/>
              <w:right w:w="30" w:type="dxa"/>
            </w:tcMar>
            <w:vAlign w:val="center"/>
          </w:tcPr>
          <w:p w14:paraId="1D8564EB">
            <w:pPr>
              <w:widowControl/>
              <w:spacing w:line="240" w:lineRule="auto"/>
              <w:jc w:val="both"/>
              <w:textAlignment w:val="auto"/>
              <w:rPr>
                <w:rFonts w:hint="default" w:ascii="Times New Roman" w:hAnsi="Times New Roman" w:cs="Times New Roman"/>
                <w:color w:val="auto"/>
                <w:kern w:val="0"/>
                <w:sz w:val="21"/>
                <w:szCs w:val="21"/>
                <w:lang w:bidi="ar"/>
              </w:rPr>
            </w:pPr>
            <w:r>
              <w:rPr>
                <w:rFonts w:hint="default" w:ascii="Times New Roman" w:hAnsi="Times New Roman" w:cs="Times New Roman"/>
                <w:color w:val="auto"/>
                <w:kern w:val="0"/>
                <w:sz w:val="21"/>
                <w:szCs w:val="21"/>
                <w:lang w:bidi="ar"/>
              </w:rPr>
              <w:t>1.基于构件工厂实际使用柴油的元素碳含量检测报告和实测NCV，依据国家推荐方法计算所得因子；</w:t>
            </w:r>
          </w:p>
          <w:p w14:paraId="04BC58FD">
            <w:pPr>
              <w:widowControl/>
              <w:spacing w:line="240" w:lineRule="auto"/>
              <w:jc w:val="both"/>
              <w:textAlignment w:val="auto"/>
              <w:rPr>
                <w:rFonts w:hint="default" w:ascii="Times New Roman" w:hAnsi="Times New Roman" w:cs="Times New Roman"/>
                <w:color w:val="auto"/>
                <w:kern w:val="0"/>
                <w:sz w:val="21"/>
                <w:szCs w:val="21"/>
                <w:lang w:bidi="ar"/>
              </w:rPr>
            </w:pPr>
            <w:r>
              <w:rPr>
                <w:rFonts w:hint="default" w:ascii="Times New Roman" w:hAnsi="Times New Roman" w:cs="Times New Roman"/>
                <w:color w:val="auto"/>
                <w:kern w:val="0"/>
                <w:sz w:val="21"/>
                <w:szCs w:val="21"/>
                <w:lang w:bidi="ar"/>
              </w:rPr>
              <w:t>2.柴油供应商提供的可验证的燃料特性数据计算所得因子；</w:t>
            </w:r>
          </w:p>
          <w:p w14:paraId="2AE2B105">
            <w:pPr>
              <w:widowControl/>
              <w:spacing w:line="240" w:lineRule="auto"/>
              <w:jc w:val="both"/>
              <w:textAlignment w:val="auto"/>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lang w:bidi="ar"/>
              </w:rPr>
              <w:t>3.国家/行业推荐缺省值。</w:t>
            </w:r>
          </w:p>
        </w:tc>
        <w:tc>
          <w:tcPr>
            <w:tcW w:w="548" w:type="pct"/>
            <w:shd w:val="clear" w:color="auto" w:fill="auto"/>
            <w:tcMar>
              <w:top w:w="20" w:type="dxa"/>
              <w:left w:w="30" w:type="dxa"/>
              <w:bottom w:w="20" w:type="dxa"/>
              <w:right w:w="30" w:type="dxa"/>
            </w:tcMar>
            <w:vAlign w:val="center"/>
          </w:tcPr>
          <w:p w14:paraId="396F6C95">
            <w:pPr>
              <w:widowControl/>
              <w:spacing w:line="240" w:lineRule="auto"/>
              <w:jc w:val="center"/>
              <w:textAlignment w:val="auto"/>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lang w:bidi="ar"/>
              </w:rPr>
              <w:t>1&gt;2&gt;3&gt;</w:t>
            </w:r>
            <w:r>
              <w:rPr>
                <w:rFonts w:hint="default" w:ascii="Times New Roman" w:hAnsi="Times New Roman" w:cs="Times New Roman"/>
                <w:color w:val="auto"/>
                <w:kern w:val="0"/>
                <w:sz w:val="21"/>
                <w:szCs w:val="21"/>
                <w:lang w:eastAsia="zh-CN" w:bidi="ar"/>
              </w:rPr>
              <w:t>4</w:t>
            </w:r>
          </w:p>
        </w:tc>
      </w:tr>
      <w:tr w14:paraId="3C6C6C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10" w:hRule="atLeast"/>
        </w:trPr>
        <w:tc>
          <w:tcPr>
            <w:tcW w:w="308" w:type="pct"/>
            <w:shd w:val="clear" w:color="auto" w:fill="auto"/>
            <w:tcMar>
              <w:top w:w="20" w:type="dxa"/>
              <w:left w:w="30" w:type="dxa"/>
              <w:bottom w:w="20" w:type="dxa"/>
              <w:right w:w="30" w:type="dxa"/>
            </w:tcMar>
            <w:vAlign w:val="center"/>
          </w:tcPr>
          <w:p w14:paraId="20933B02">
            <w:pPr>
              <w:widowControl/>
              <w:spacing w:line="240" w:lineRule="auto"/>
              <w:jc w:val="center"/>
              <w:textAlignment w:val="auto"/>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lang w:bidi="ar"/>
              </w:rPr>
              <w:t>4</w:t>
            </w:r>
          </w:p>
        </w:tc>
        <w:tc>
          <w:tcPr>
            <w:tcW w:w="868" w:type="pct"/>
            <w:shd w:val="clear" w:color="auto" w:fill="auto"/>
            <w:tcMar>
              <w:top w:w="20" w:type="dxa"/>
              <w:left w:w="30" w:type="dxa"/>
              <w:bottom w:w="20" w:type="dxa"/>
              <w:right w:w="30" w:type="dxa"/>
            </w:tcMar>
            <w:vAlign w:val="center"/>
          </w:tcPr>
          <w:p w14:paraId="4824E5DA">
            <w:pPr>
              <w:widowControl/>
              <w:spacing w:line="240" w:lineRule="auto"/>
              <w:jc w:val="both"/>
              <w:textAlignment w:val="auto"/>
              <w:rPr>
                <w:rFonts w:hint="eastAsia" w:ascii="Times New Roman" w:hAnsi="Times New Roman" w:eastAsia="宋体" w:cs="Times New Roman"/>
                <w:color w:val="auto"/>
                <w:kern w:val="0"/>
                <w:sz w:val="21"/>
                <w:szCs w:val="21"/>
                <w:lang w:eastAsia="zh-CN"/>
              </w:rPr>
            </w:pPr>
            <w:r>
              <w:rPr>
                <w:rFonts w:hint="default" w:ascii="Times New Roman" w:hAnsi="Times New Roman" w:cs="Times New Roman"/>
                <w:color w:val="auto"/>
                <w:kern w:val="0"/>
                <w:sz w:val="21"/>
                <w:szCs w:val="21"/>
                <w:lang w:bidi="ar"/>
              </w:rPr>
              <w:t>液化石油气(LPG)燃烧</w:t>
            </w:r>
            <w:r>
              <w:rPr>
                <w:rFonts w:hint="eastAsia" w:cs="Times New Roman"/>
                <w:color w:val="auto"/>
                <w:kern w:val="0"/>
                <w:sz w:val="21"/>
                <w:szCs w:val="21"/>
                <w:lang w:eastAsia="zh-CN" w:bidi="ar"/>
              </w:rPr>
              <w:t>排放因子</w:t>
            </w:r>
          </w:p>
        </w:tc>
        <w:tc>
          <w:tcPr>
            <w:tcW w:w="3273" w:type="pct"/>
            <w:shd w:val="clear" w:color="auto" w:fill="auto"/>
            <w:tcMar>
              <w:top w:w="20" w:type="dxa"/>
              <w:left w:w="30" w:type="dxa"/>
              <w:bottom w:w="20" w:type="dxa"/>
              <w:right w:w="30" w:type="dxa"/>
            </w:tcMar>
            <w:vAlign w:val="center"/>
          </w:tcPr>
          <w:p w14:paraId="342FC809">
            <w:pPr>
              <w:widowControl/>
              <w:spacing w:line="240" w:lineRule="auto"/>
              <w:jc w:val="both"/>
              <w:textAlignment w:val="auto"/>
              <w:rPr>
                <w:rFonts w:hint="default" w:ascii="Times New Roman" w:hAnsi="Times New Roman" w:cs="Times New Roman"/>
                <w:color w:val="auto"/>
                <w:kern w:val="0"/>
                <w:sz w:val="21"/>
                <w:szCs w:val="21"/>
                <w:lang w:bidi="ar"/>
              </w:rPr>
            </w:pPr>
            <w:r>
              <w:rPr>
                <w:rFonts w:hint="default" w:ascii="Times New Roman" w:hAnsi="Times New Roman" w:cs="Times New Roman"/>
                <w:color w:val="auto"/>
                <w:kern w:val="0"/>
                <w:sz w:val="21"/>
                <w:szCs w:val="21"/>
                <w:lang w:bidi="ar"/>
              </w:rPr>
              <w:t>1.基于构件工厂实际使用LPG的组分分析和实测NCV，依据国家推荐方法计算所得因子；</w:t>
            </w:r>
          </w:p>
          <w:p w14:paraId="515EAE9E">
            <w:pPr>
              <w:widowControl/>
              <w:spacing w:line="240" w:lineRule="auto"/>
              <w:jc w:val="both"/>
              <w:textAlignment w:val="auto"/>
              <w:rPr>
                <w:rFonts w:hint="default" w:ascii="Times New Roman" w:hAnsi="Times New Roman" w:cs="Times New Roman"/>
                <w:color w:val="auto"/>
                <w:kern w:val="0"/>
                <w:sz w:val="21"/>
                <w:szCs w:val="21"/>
                <w:lang w:bidi="ar"/>
              </w:rPr>
            </w:pPr>
            <w:r>
              <w:rPr>
                <w:rFonts w:hint="default" w:ascii="Times New Roman" w:hAnsi="Times New Roman" w:cs="Times New Roman"/>
                <w:color w:val="auto"/>
                <w:kern w:val="0"/>
                <w:sz w:val="21"/>
                <w:szCs w:val="21"/>
                <w:lang w:bidi="ar"/>
              </w:rPr>
              <w:t>2.LPG供应商提供的可验证的燃料特性数据计算所得因子；</w:t>
            </w:r>
          </w:p>
          <w:p w14:paraId="306089B1">
            <w:pPr>
              <w:widowControl/>
              <w:spacing w:line="240" w:lineRule="auto"/>
              <w:jc w:val="both"/>
              <w:textAlignment w:val="auto"/>
              <w:rPr>
                <w:rFonts w:hint="default" w:ascii="Times New Roman" w:hAnsi="Times New Roman" w:cs="Times New Roman"/>
                <w:color w:val="auto"/>
                <w:kern w:val="0"/>
                <w:sz w:val="21"/>
                <w:szCs w:val="21"/>
                <w:lang w:eastAsia="zh-CN" w:bidi="ar"/>
              </w:rPr>
            </w:pPr>
            <w:r>
              <w:rPr>
                <w:rFonts w:hint="default" w:ascii="Times New Roman" w:hAnsi="Times New Roman" w:cs="Times New Roman"/>
                <w:color w:val="auto"/>
                <w:kern w:val="0"/>
                <w:sz w:val="21"/>
                <w:szCs w:val="21"/>
                <w:lang w:bidi="ar"/>
              </w:rPr>
              <w:t>3.国家/行业推荐缺省值</w:t>
            </w:r>
            <w:r>
              <w:rPr>
                <w:rFonts w:hint="default" w:ascii="Times New Roman" w:hAnsi="Times New Roman" w:cs="Times New Roman"/>
                <w:color w:val="auto"/>
                <w:kern w:val="0"/>
                <w:sz w:val="21"/>
                <w:szCs w:val="21"/>
                <w:lang w:eastAsia="zh-CN" w:bidi="ar"/>
              </w:rPr>
              <w:t>；</w:t>
            </w:r>
          </w:p>
          <w:p w14:paraId="29D54926">
            <w:pPr>
              <w:widowControl/>
              <w:spacing w:line="240" w:lineRule="auto"/>
              <w:jc w:val="both"/>
              <w:textAlignment w:val="auto"/>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lang w:val="en-US" w:eastAsia="zh-CN" w:bidi="ar"/>
              </w:rPr>
              <w:t>4.国内权威机构建设基础数据库或公开发表的学术论文。</w:t>
            </w:r>
          </w:p>
        </w:tc>
        <w:tc>
          <w:tcPr>
            <w:tcW w:w="548" w:type="pct"/>
            <w:shd w:val="clear" w:color="auto" w:fill="auto"/>
            <w:tcMar>
              <w:top w:w="20" w:type="dxa"/>
              <w:left w:w="30" w:type="dxa"/>
              <w:bottom w:w="20" w:type="dxa"/>
              <w:right w:w="30" w:type="dxa"/>
            </w:tcMar>
            <w:vAlign w:val="center"/>
          </w:tcPr>
          <w:p w14:paraId="4764B17C">
            <w:pPr>
              <w:widowControl/>
              <w:spacing w:line="240" w:lineRule="auto"/>
              <w:jc w:val="center"/>
              <w:textAlignment w:val="auto"/>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lang w:bidi="ar"/>
              </w:rPr>
              <w:t>1&gt;2&gt;3&gt;</w:t>
            </w:r>
            <w:r>
              <w:rPr>
                <w:rFonts w:hint="default" w:ascii="Times New Roman" w:hAnsi="Times New Roman" w:cs="Times New Roman"/>
                <w:color w:val="auto"/>
                <w:kern w:val="0"/>
                <w:sz w:val="21"/>
                <w:szCs w:val="21"/>
                <w:lang w:eastAsia="zh-CN" w:bidi="ar"/>
              </w:rPr>
              <w:t>4</w:t>
            </w:r>
          </w:p>
        </w:tc>
      </w:tr>
      <w:tr w14:paraId="24CA8B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10" w:hRule="atLeast"/>
        </w:trPr>
        <w:tc>
          <w:tcPr>
            <w:tcW w:w="308" w:type="pct"/>
            <w:shd w:val="clear" w:color="auto" w:fill="auto"/>
            <w:tcMar>
              <w:top w:w="20" w:type="dxa"/>
              <w:left w:w="30" w:type="dxa"/>
              <w:bottom w:w="20" w:type="dxa"/>
              <w:right w:w="30" w:type="dxa"/>
            </w:tcMar>
            <w:vAlign w:val="center"/>
          </w:tcPr>
          <w:p w14:paraId="5621528F">
            <w:pPr>
              <w:widowControl/>
              <w:spacing w:line="240" w:lineRule="auto"/>
              <w:jc w:val="center"/>
              <w:textAlignment w:val="auto"/>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lang w:bidi="ar"/>
              </w:rPr>
              <w:t>5</w:t>
            </w:r>
          </w:p>
        </w:tc>
        <w:tc>
          <w:tcPr>
            <w:tcW w:w="868" w:type="pct"/>
            <w:shd w:val="clear" w:color="auto" w:fill="auto"/>
            <w:tcMar>
              <w:top w:w="20" w:type="dxa"/>
              <w:left w:w="30" w:type="dxa"/>
              <w:bottom w:w="20" w:type="dxa"/>
              <w:right w:w="30" w:type="dxa"/>
            </w:tcMar>
            <w:vAlign w:val="center"/>
          </w:tcPr>
          <w:p w14:paraId="1E699C42">
            <w:pPr>
              <w:widowControl/>
              <w:spacing w:line="240" w:lineRule="auto"/>
              <w:jc w:val="both"/>
              <w:textAlignment w:val="auto"/>
              <w:rPr>
                <w:rFonts w:hint="eastAsia" w:ascii="Times New Roman" w:hAnsi="Times New Roman" w:eastAsia="宋体" w:cs="Times New Roman"/>
                <w:color w:val="auto"/>
                <w:kern w:val="0"/>
                <w:sz w:val="21"/>
                <w:szCs w:val="21"/>
                <w:lang w:eastAsia="zh-CN"/>
              </w:rPr>
            </w:pPr>
            <w:r>
              <w:rPr>
                <w:rFonts w:hint="default" w:ascii="Times New Roman" w:hAnsi="Times New Roman" w:cs="Times New Roman"/>
                <w:color w:val="auto"/>
                <w:kern w:val="0"/>
                <w:sz w:val="21"/>
                <w:szCs w:val="21"/>
                <w:lang w:bidi="ar"/>
              </w:rPr>
              <w:t>煤炭燃烧</w:t>
            </w:r>
            <w:r>
              <w:rPr>
                <w:rFonts w:hint="eastAsia" w:cs="Times New Roman"/>
                <w:color w:val="auto"/>
                <w:kern w:val="0"/>
                <w:sz w:val="21"/>
                <w:szCs w:val="21"/>
                <w:lang w:eastAsia="zh-CN" w:bidi="ar"/>
              </w:rPr>
              <w:t>排放因子</w:t>
            </w:r>
          </w:p>
        </w:tc>
        <w:tc>
          <w:tcPr>
            <w:tcW w:w="3273" w:type="pct"/>
            <w:shd w:val="clear" w:color="auto" w:fill="auto"/>
            <w:tcMar>
              <w:top w:w="20" w:type="dxa"/>
              <w:left w:w="30" w:type="dxa"/>
              <w:bottom w:w="20" w:type="dxa"/>
              <w:right w:w="30" w:type="dxa"/>
            </w:tcMar>
            <w:vAlign w:val="center"/>
          </w:tcPr>
          <w:p w14:paraId="4E03C0F6">
            <w:pPr>
              <w:widowControl/>
              <w:spacing w:line="240" w:lineRule="auto"/>
              <w:jc w:val="both"/>
              <w:textAlignment w:val="auto"/>
              <w:rPr>
                <w:rFonts w:hint="default" w:ascii="Times New Roman" w:hAnsi="Times New Roman" w:cs="Times New Roman"/>
                <w:color w:val="auto"/>
                <w:kern w:val="0"/>
                <w:sz w:val="21"/>
                <w:szCs w:val="21"/>
                <w:lang w:bidi="ar"/>
              </w:rPr>
            </w:pPr>
            <w:r>
              <w:rPr>
                <w:rFonts w:hint="default" w:ascii="Times New Roman" w:hAnsi="Times New Roman" w:cs="Times New Roman"/>
                <w:color w:val="auto"/>
                <w:kern w:val="0"/>
                <w:sz w:val="21"/>
                <w:szCs w:val="21"/>
                <w:lang w:bidi="ar"/>
              </w:rPr>
              <w:t>1.基于构件工厂实际使用煤炭的元素分析报告和实测NCV，依据国家推荐方法计算所得因子；</w:t>
            </w:r>
          </w:p>
          <w:p w14:paraId="36ECB61E">
            <w:pPr>
              <w:widowControl/>
              <w:spacing w:line="240" w:lineRule="auto"/>
              <w:jc w:val="both"/>
              <w:textAlignment w:val="auto"/>
              <w:rPr>
                <w:rFonts w:hint="default" w:ascii="Times New Roman" w:hAnsi="Times New Roman" w:cs="Times New Roman"/>
                <w:color w:val="auto"/>
                <w:kern w:val="0"/>
                <w:sz w:val="21"/>
                <w:szCs w:val="21"/>
                <w:lang w:bidi="ar"/>
              </w:rPr>
            </w:pPr>
            <w:r>
              <w:rPr>
                <w:rFonts w:hint="default" w:ascii="Times New Roman" w:hAnsi="Times New Roman" w:cs="Times New Roman"/>
                <w:color w:val="auto"/>
                <w:kern w:val="0"/>
                <w:sz w:val="21"/>
                <w:szCs w:val="21"/>
                <w:lang w:bidi="ar"/>
              </w:rPr>
              <w:t>2.煤炭供应商提供的可验证的煤质分析数据计算所得因子；</w:t>
            </w:r>
          </w:p>
          <w:p w14:paraId="53E73DF5">
            <w:pPr>
              <w:widowControl/>
              <w:spacing w:line="240" w:lineRule="auto"/>
              <w:jc w:val="both"/>
              <w:textAlignment w:val="auto"/>
              <w:rPr>
                <w:rFonts w:hint="default" w:ascii="Times New Roman" w:hAnsi="Times New Roman" w:eastAsia="宋体" w:cs="Times New Roman"/>
                <w:color w:val="auto"/>
                <w:kern w:val="0"/>
                <w:sz w:val="21"/>
                <w:szCs w:val="21"/>
                <w:lang w:val="en-US" w:eastAsia="zh-CN" w:bidi="ar"/>
              </w:rPr>
            </w:pPr>
            <w:r>
              <w:rPr>
                <w:rFonts w:hint="default" w:ascii="Times New Roman" w:hAnsi="Times New Roman" w:cs="Times New Roman"/>
                <w:color w:val="auto"/>
                <w:kern w:val="0"/>
                <w:sz w:val="21"/>
                <w:szCs w:val="21"/>
                <w:lang w:bidi="ar"/>
              </w:rPr>
              <w:t>3.国家/行业推荐缺省值</w:t>
            </w:r>
            <w:r>
              <w:rPr>
                <w:rFonts w:hint="default" w:ascii="Times New Roman" w:hAnsi="Times New Roman" w:cs="Times New Roman"/>
                <w:color w:val="auto"/>
                <w:kern w:val="0"/>
                <w:sz w:val="21"/>
                <w:szCs w:val="21"/>
                <w:lang w:eastAsia="zh-CN" w:bidi="ar"/>
              </w:rPr>
              <w:t>；</w:t>
            </w:r>
          </w:p>
          <w:p w14:paraId="0B462A62">
            <w:pPr>
              <w:widowControl/>
              <w:spacing w:line="240" w:lineRule="auto"/>
              <w:jc w:val="both"/>
              <w:textAlignment w:val="auto"/>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lang w:val="en-US" w:eastAsia="zh-CN" w:bidi="ar"/>
              </w:rPr>
              <w:t>4.国内权威机构建设基础数据库或公开发表的学术论文。</w:t>
            </w:r>
          </w:p>
        </w:tc>
        <w:tc>
          <w:tcPr>
            <w:tcW w:w="548" w:type="pct"/>
            <w:shd w:val="clear" w:color="auto" w:fill="auto"/>
            <w:tcMar>
              <w:top w:w="20" w:type="dxa"/>
              <w:left w:w="30" w:type="dxa"/>
              <w:bottom w:w="20" w:type="dxa"/>
              <w:right w:w="30" w:type="dxa"/>
            </w:tcMar>
            <w:vAlign w:val="center"/>
          </w:tcPr>
          <w:p w14:paraId="5F71EFEF">
            <w:pPr>
              <w:widowControl/>
              <w:spacing w:line="240" w:lineRule="auto"/>
              <w:jc w:val="center"/>
              <w:textAlignment w:val="auto"/>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lang w:bidi="ar"/>
              </w:rPr>
              <w:t>1&gt;2&gt;3&gt;</w:t>
            </w:r>
            <w:r>
              <w:rPr>
                <w:rFonts w:hint="default" w:ascii="Times New Roman" w:hAnsi="Times New Roman" w:cs="Times New Roman"/>
                <w:color w:val="auto"/>
                <w:kern w:val="0"/>
                <w:sz w:val="21"/>
                <w:szCs w:val="21"/>
                <w:lang w:eastAsia="zh-CN" w:bidi="ar"/>
              </w:rPr>
              <w:t>4</w:t>
            </w:r>
          </w:p>
        </w:tc>
      </w:tr>
      <w:tr w14:paraId="4993F9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10" w:hRule="atLeast"/>
        </w:trPr>
        <w:tc>
          <w:tcPr>
            <w:tcW w:w="308" w:type="pct"/>
            <w:shd w:val="clear" w:color="auto" w:fill="auto"/>
            <w:tcMar>
              <w:top w:w="20" w:type="dxa"/>
              <w:left w:w="30" w:type="dxa"/>
              <w:bottom w:w="20" w:type="dxa"/>
              <w:right w:w="30" w:type="dxa"/>
            </w:tcMar>
            <w:vAlign w:val="center"/>
          </w:tcPr>
          <w:p w14:paraId="6BB6FA4F">
            <w:pPr>
              <w:widowControl/>
              <w:spacing w:line="240" w:lineRule="auto"/>
              <w:jc w:val="center"/>
              <w:textAlignment w:val="auto"/>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lang w:bidi="ar"/>
              </w:rPr>
              <w:t>6</w:t>
            </w:r>
          </w:p>
        </w:tc>
        <w:tc>
          <w:tcPr>
            <w:tcW w:w="868" w:type="pct"/>
            <w:shd w:val="clear" w:color="auto" w:fill="auto"/>
            <w:tcMar>
              <w:top w:w="20" w:type="dxa"/>
              <w:left w:w="30" w:type="dxa"/>
              <w:bottom w:w="20" w:type="dxa"/>
              <w:right w:w="30" w:type="dxa"/>
            </w:tcMar>
            <w:vAlign w:val="center"/>
          </w:tcPr>
          <w:p w14:paraId="787BAE3E">
            <w:pPr>
              <w:widowControl/>
              <w:spacing w:line="240" w:lineRule="auto"/>
              <w:jc w:val="both"/>
              <w:textAlignment w:val="auto"/>
              <w:rPr>
                <w:rFonts w:hint="eastAsia" w:ascii="Times New Roman" w:hAnsi="Times New Roman" w:eastAsia="宋体" w:cs="Times New Roman"/>
                <w:color w:val="auto"/>
                <w:kern w:val="0"/>
                <w:sz w:val="21"/>
                <w:szCs w:val="21"/>
                <w:lang w:eastAsia="zh-CN"/>
              </w:rPr>
            </w:pPr>
            <w:r>
              <w:rPr>
                <w:rFonts w:hint="default" w:ascii="Times New Roman" w:hAnsi="Times New Roman" w:cs="Times New Roman"/>
                <w:color w:val="auto"/>
                <w:kern w:val="0"/>
                <w:sz w:val="21"/>
                <w:szCs w:val="21"/>
                <w:lang w:bidi="ar"/>
              </w:rPr>
              <w:t>其他化石燃料燃烧</w:t>
            </w:r>
            <w:r>
              <w:rPr>
                <w:rFonts w:hint="eastAsia" w:cs="Times New Roman"/>
                <w:color w:val="auto"/>
                <w:kern w:val="0"/>
                <w:sz w:val="21"/>
                <w:szCs w:val="21"/>
                <w:lang w:eastAsia="zh-CN" w:bidi="ar"/>
              </w:rPr>
              <w:t>排放因子</w:t>
            </w:r>
          </w:p>
        </w:tc>
        <w:tc>
          <w:tcPr>
            <w:tcW w:w="3273" w:type="pct"/>
            <w:shd w:val="clear" w:color="auto" w:fill="auto"/>
            <w:tcMar>
              <w:top w:w="20" w:type="dxa"/>
              <w:left w:w="30" w:type="dxa"/>
              <w:bottom w:w="20" w:type="dxa"/>
              <w:right w:w="30" w:type="dxa"/>
            </w:tcMar>
            <w:vAlign w:val="center"/>
          </w:tcPr>
          <w:p w14:paraId="25F95B74">
            <w:pPr>
              <w:widowControl/>
              <w:spacing w:line="240" w:lineRule="auto"/>
              <w:jc w:val="both"/>
              <w:textAlignment w:val="auto"/>
              <w:rPr>
                <w:rFonts w:hint="default" w:ascii="Times New Roman" w:hAnsi="Times New Roman" w:cs="Times New Roman"/>
                <w:color w:val="auto"/>
                <w:kern w:val="0"/>
                <w:sz w:val="21"/>
                <w:szCs w:val="21"/>
                <w:lang w:bidi="ar"/>
              </w:rPr>
            </w:pPr>
            <w:r>
              <w:rPr>
                <w:rFonts w:hint="default" w:ascii="Times New Roman" w:hAnsi="Times New Roman" w:cs="Times New Roman"/>
                <w:color w:val="auto"/>
                <w:kern w:val="0"/>
                <w:sz w:val="21"/>
                <w:szCs w:val="21"/>
                <w:lang w:bidi="ar"/>
              </w:rPr>
              <w:t>1.基于构件工厂实际使用该燃料的元素分析报告和实测NCV，依据国家推荐方法计算所得因子；</w:t>
            </w:r>
          </w:p>
          <w:p w14:paraId="2802E766">
            <w:pPr>
              <w:widowControl/>
              <w:spacing w:line="240" w:lineRule="auto"/>
              <w:jc w:val="both"/>
              <w:textAlignment w:val="auto"/>
              <w:rPr>
                <w:rFonts w:hint="default" w:ascii="Times New Roman" w:hAnsi="Times New Roman" w:cs="Times New Roman"/>
                <w:color w:val="auto"/>
                <w:kern w:val="0"/>
                <w:sz w:val="21"/>
                <w:szCs w:val="21"/>
                <w:lang w:bidi="ar"/>
              </w:rPr>
            </w:pPr>
            <w:r>
              <w:rPr>
                <w:rFonts w:hint="default" w:ascii="Times New Roman" w:hAnsi="Times New Roman" w:cs="Times New Roman"/>
                <w:color w:val="auto"/>
                <w:kern w:val="0"/>
                <w:sz w:val="21"/>
                <w:szCs w:val="21"/>
                <w:lang w:bidi="ar"/>
              </w:rPr>
              <w:t>2.该燃料供应商提供的可验证的燃料特性数据计算所得因子；</w:t>
            </w:r>
          </w:p>
          <w:p w14:paraId="30B90DD8">
            <w:pPr>
              <w:widowControl/>
              <w:spacing w:line="240" w:lineRule="auto"/>
              <w:jc w:val="both"/>
              <w:textAlignment w:val="auto"/>
              <w:rPr>
                <w:rFonts w:hint="default" w:ascii="Times New Roman" w:hAnsi="Times New Roman" w:cs="Times New Roman"/>
                <w:color w:val="auto"/>
                <w:kern w:val="0"/>
                <w:sz w:val="21"/>
                <w:szCs w:val="21"/>
                <w:lang w:eastAsia="zh-CN" w:bidi="ar"/>
              </w:rPr>
            </w:pPr>
            <w:r>
              <w:rPr>
                <w:rFonts w:hint="default" w:ascii="Times New Roman" w:hAnsi="Times New Roman" w:cs="Times New Roman"/>
                <w:color w:val="auto"/>
                <w:kern w:val="0"/>
                <w:sz w:val="21"/>
                <w:szCs w:val="21"/>
                <w:lang w:bidi="ar"/>
              </w:rPr>
              <w:t>3.国家/行业推荐缺省值</w:t>
            </w:r>
            <w:r>
              <w:rPr>
                <w:rFonts w:hint="default" w:ascii="Times New Roman" w:hAnsi="Times New Roman" w:cs="Times New Roman"/>
                <w:color w:val="auto"/>
                <w:kern w:val="0"/>
                <w:sz w:val="21"/>
                <w:szCs w:val="21"/>
                <w:lang w:eastAsia="zh-CN" w:bidi="ar"/>
              </w:rPr>
              <w:t>；</w:t>
            </w:r>
          </w:p>
          <w:p w14:paraId="652E6AFB">
            <w:pPr>
              <w:widowControl/>
              <w:spacing w:line="240" w:lineRule="auto"/>
              <w:jc w:val="both"/>
              <w:textAlignment w:val="auto"/>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lang w:val="en-US" w:eastAsia="zh-CN" w:bidi="ar"/>
              </w:rPr>
              <w:t>4.国内权威机构建设基础数据库或公开发表的学术论文。</w:t>
            </w:r>
          </w:p>
        </w:tc>
        <w:tc>
          <w:tcPr>
            <w:tcW w:w="548" w:type="pct"/>
            <w:shd w:val="clear" w:color="auto" w:fill="auto"/>
            <w:tcMar>
              <w:top w:w="20" w:type="dxa"/>
              <w:left w:w="30" w:type="dxa"/>
              <w:bottom w:w="20" w:type="dxa"/>
              <w:right w:w="30" w:type="dxa"/>
            </w:tcMar>
            <w:vAlign w:val="center"/>
          </w:tcPr>
          <w:p w14:paraId="6BEA109F">
            <w:pPr>
              <w:widowControl/>
              <w:spacing w:line="240" w:lineRule="auto"/>
              <w:jc w:val="center"/>
              <w:textAlignment w:val="auto"/>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lang w:bidi="ar"/>
              </w:rPr>
              <w:t>1&gt;2&gt;3&gt;</w:t>
            </w:r>
            <w:r>
              <w:rPr>
                <w:rFonts w:hint="default" w:ascii="Times New Roman" w:hAnsi="Times New Roman" w:cs="Times New Roman"/>
                <w:color w:val="auto"/>
                <w:kern w:val="0"/>
                <w:sz w:val="21"/>
                <w:szCs w:val="21"/>
                <w:lang w:eastAsia="zh-CN" w:bidi="ar"/>
              </w:rPr>
              <w:t>4</w:t>
            </w:r>
          </w:p>
        </w:tc>
      </w:tr>
      <w:tr w14:paraId="7C942B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10" w:hRule="atLeast"/>
        </w:trPr>
        <w:tc>
          <w:tcPr>
            <w:tcW w:w="308" w:type="pct"/>
            <w:shd w:val="clear" w:color="auto" w:fill="auto"/>
            <w:tcMar>
              <w:top w:w="20" w:type="dxa"/>
              <w:left w:w="30" w:type="dxa"/>
              <w:bottom w:w="20" w:type="dxa"/>
              <w:right w:w="30" w:type="dxa"/>
            </w:tcMar>
            <w:vAlign w:val="center"/>
          </w:tcPr>
          <w:p w14:paraId="43F5A5F3">
            <w:pPr>
              <w:widowControl/>
              <w:spacing w:line="240" w:lineRule="auto"/>
              <w:jc w:val="center"/>
              <w:textAlignment w:val="auto"/>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lang w:bidi="ar"/>
              </w:rPr>
              <w:t>7</w:t>
            </w:r>
          </w:p>
        </w:tc>
        <w:tc>
          <w:tcPr>
            <w:tcW w:w="868" w:type="pct"/>
            <w:shd w:val="clear" w:color="auto" w:fill="auto"/>
            <w:tcMar>
              <w:top w:w="20" w:type="dxa"/>
              <w:left w:w="30" w:type="dxa"/>
              <w:bottom w:w="20" w:type="dxa"/>
              <w:right w:w="30" w:type="dxa"/>
            </w:tcMar>
            <w:vAlign w:val="center"/>
          </w:tcPr>
          <w:p w14:paraId="605BB262">
            <w:pPr>
              <w:widowControl/>
              <w:spacing w:line="240" w:lineRule="auto"/>
              <w:jc w:val="both"/>
              <w:textAlignment w:val="auto"/>
              <w:rPr>
                <w:rFonts w:hint="eastAsia" w:ascii="Times New Roman" w:hAnsi="Times New Roman" w:eastAsia="宋体" w:cs="Times New Roman"/>
                <w:color w:val="auto"/>
                <w:kern w:val="0"/>
                <w:sz w:val="21"/>
                <w:szCs w:val="21"/>
                <w:lang w:eastAsia="zh-CN"/>
              </w:rPr>
            </w:pPr>
            <w:r>
              <w:rPr>
                <w:rFonts w:hint="default" w:ascii="Times New Roman" w:hAnsi="Times New Roman" w:cs="Times New Roman"/>
                <w:color w:val="auto"/>
                <w:kern w:val="0"/>
                <w:sz w:val="21"/>
                <w:szCs w:val="21"/>
                <w:lang w:bidi="ar"/>
              </w:rPr>
              <w:t>外购</w:t>
            </w:r>
            <w:r>
              <w:rPr>
                <w:rFonts w:hint="eastAsia" w:cs="Times New Roman"/>
                <w:color w:val="auto"/>
                <w:kern w:val="0"/>
                <w:sz w:val="21"/>
                <w:szCs w:val="21"/>
                <w:lang w:eastAsia="zh-CN" w:bidi="ar"/>
              </w:rPr>
              <w:t>热</w:t>
            </w:r>
            <w:r>
              <w:rPr>
                <w:rFonts w:hint="default" w:ascii="Times New Roman" w:hAnsi="Times New Roman" w:cs="Times New Roman"/>
                <w:color w:val="auto"/>
                <w:kern w:val="0"/>
                <w:sz w:val="21"/>
                <w:szCs w:val="21"/>
                <w:lang w:bidi="ar"/>
              </w:rPr>
              <w:t>力</w:t>
            </w:r>
            <w:r>
              <w:rPr>
                <w:rFonts w:hint="eastAsia" w:cs="Times New Roman"/>
                <w:color w:val="auto"/>
                <w:kern w:val="0"/>
                <w:sz w:val="21"/>
                <w:szCs w:val="21"/>
                <w:lang w:eastAsia="zh-CN" w:bidi="ar"/>
              </w:rPr>
              <w:t>排放因子</w:t>
            </w:r>
          </w:p>
        </w:tc>
        <w:tc>
          <w:tcPr>
            <w:tcW w:w="3273" w:type="pct"/>
            <w:shd w:val="clear" w:color="auto" w:fill="auto"/>
            <w:tcMar>
              <w:top w:w="20" w:type="dxa"/>
              <w:left w:w="30" w:type="dxa"/>
              <w:bottom w:w="20" w:type="dxa"/>
              <w:right w:w="30" w:type="dxa"/>
            </w:tcMar>
            <w:vAlign w:val="center"/>
          </w:tcPr>
          <w:p w14:paraId="5266C752">
            <w:pPr>
              <w:widowControl/>
              <w:spacing w:line="240" w:lineRule="auto"/>
              <w:jc w:val="both"/>
              <w:textAlignment w:val="auto"/>
              <w:rPr>
                <w:rFonts w:hint="default" w:ascii="Times New Roman" w:hAnsi="Times New Roman" w:cs="Times New Roman"/>
                <w:color w:val="auto"/>
                <w:kern w:val="0"/>
                <w:sz w:val="21"/>
                <w:szCs w:val="21"/>
                <w:lang w:bidi="ar"/>
              </w:rPr>
            </w:pPr>
            <w:r>
              <w:rPr>
                <w:rFonts w:hint="default" w:ascii="Times New Roman" w:hAnsi="Times New Roman" w:cs="Times New Roman"/>
                <w:color w:val="auto"/>
                <w:kern w:val="0"/>
                <w:sz w:val="21"/>
                <w:szCs w:val="21"/>
                <w:lang w:bidi="ar"/>
              </w:rPr>
              <w:t>1.</w:t>
            </w:r>
            <w:r>
              <w:rPr>
                <w:rFonts w:hint="eastAsia" w:cs="Times New Roman"/>
                <w:color w:val="auto"/>
                <w:kern w:val="0"/>
                <w:sz w:val="21"/>
                <w:szCs w:val="21"/>
                <w:lang w:eastAsia="zh-CN" w:bidi="ar"/>
              </w:rPr>
              <w:t>热</w:t>
            </w:r>
            <w:r>
              <w:rPr>
                <w:rFonts w:hint="default" w:ascii="Times New Roman" w:hAnsi="Times New Roman" w:cs="Times New Roman"/>
                <w:color w:val="auto"/>
                <w:kern w:val="0"/>
                <w:sz w:val="21"/>
                <w:szCs w:val="21"/>
                <w:lang w:bidi="ar"/>
              </w:rPr>
              <w:t>力供应商提供的、基于其年度实际运营数据核算并经核查的单位热量</w:t>
            </w:r>
            <w:r>
              <w:rPr>
                <w:rFonts w:hint="eastAsia" w:cs="Times New Roman"/>
                <w:color w:val="auto"/>
                <w:kern w:val="0"/>
                <w:sz w:val="21"/>
                <w:szCs w:val="21"/>
                <w:lang w:eastAsia="zh-CN" w:bidi="ar"/>
              </w:rPr>
              <w:t>排放因子</w:t>
            </w:r>
            <w:r>
              <w:rPr>
                <w:rFonts w:hint="default" w:ascii="Times New Roman" w:hAnsi="Times New Roman" w:cs="Times New Roman"/>
                <w:color w:val="auto"/>
                <w:kern w:val="0"/>
                <w:sz w:val="21"/>
                <w:szCs w:val="21"/>
                <w:lang w:bidi="ar"/>
              </w:rPr>
              <w:t>；</w:t>
            </w:r>
          </w:p>
          <w:p w14:paraId="26CD12C1">
            <w:pPr>
              <w:widowControl/>
              <w:spacing w:line="240" w:lineRule="auto"/>
              <w:jc w:val="both"/>
              <w:textAlignment w:val="auto"/>
              <w:rPr>
                <w:rFonts w:hint="default" w:ascii="Times New Roman" w:hAnsi="Times New Roman" w:cs="Times New Roman"/>
                <w:color w:val="auto"/>
                <w:kern w:val="0"/>
                <w:sz w:val="21"/>
                <w:szCs w:val="21"/>
                <w:lang w:bidi="ar"/>
              </w:rPr>
            </w:pPr>
            <w:r>
              <w:rPr>
                <w:rFonts w:hint="default" w:ascii="Times New Roman" w:hAnsi="Times New Roman" w:cs="Times New Roman"/>
                <w:color w:val="auto"/>
                <w:kern w:val="0"/>
                <w:sz w:val="21"/>
                <w:szCs w:val="21"/>
                <w:lang w:bidi="ar"/>
              </w:rPr>
              <w:t>2.地方政府或行业主管部门发布的适用于本区域供</w:t>
            </w:r>
            <w:r>
              <w:rPr>
                <w:rFonts w:hint="eastAsia" w:cs="Times New Roman"/>
                <w:color w:val="auto"/>
                <w:kern w:val="0"/>
                <w:sz w:val="21"/>
                <w:szCs w:val="21"/>
                <w:lang w:eastAsia="zh-CN" w:bidi="ar"/>
              </w:rPr>
              <w:t>热</w:t>
            </w:r>
            <w:r>
              <w:rPr>
                <w:rFonts w:hint="default" w:ascii="Times New Roman" w:hAnsi="Times New Roman" w:cs="Times New Roman"/>
                <w:color w:val="auto"/>
                <w:kern w:val="0"/>
                <w:sz w:val="21"/>
                <w:szCs w:val="21"/>
                <w:lang w:bidi="ar"/>
              </w:rPr>
              <w:t>系统的最新年度平均</w:t>
            </w:r>
            <w:r>
              <w:rPr>
                <w:rFonts w:hint="eastAsia" w:cs="Times New Roman"/>
                <w:color w:val="auto"/>
                <w:kern w:val="0"/>
                <w:sz w:val="21"/>
                <w:szCs w:val="21"/>
                <w:lang w:eastAsia="zh-CN" w:bidi="ar"/>
              </w:rPr>
              <w:t>排放因子</w:t>
            </w:r>
            <w:r>
              <w:rPr>
                <w:rFonts w:hint="default" w:ascii="Times New Roman" w:hAnsi="Times New Roman" w:cs="Times New Roman"/>
                <w:color w:val="auto"/>
                <w:kern w:val="0"/>
                <w:sz w:val="21"/>
                <w:szCs w:val="21"/>
                <w:lang w:bidi="ar"/>
              </w:rPr>
              <w:t>；</w:t>
            </w:r>
          </w:p>
          <w:p w14:paraId="392EBA78">
            <w:pPr>
              <w:widowControl/>
              <w:spacing w:line="240" w:lineRule="auto"/>
              <w:jc w:val="both"/>
              <w:textAlignment w:val="auto"/>
              <w:rPr>
                <w:rFonts w:hint="default" w:ascii="Times New Roman" w:hAnsi="Times New Roman" w:cs="Times New Roman"/>
                <w:color w:val="auto"/>
                <w:kern w:val="0"/>
                <w:sz w:val="21"/>
                <w:szCs w:val="21"/>
                <w:lang w:bidi="ar"/>
              </w:rPr>
            </w:pPr>
            <w:r>
              <w:rPr>
                <w:rFonts w:hint="default" w:ascii="Times New Roman" w:hAnsi="Times New Roman" w:cs="Times New Roman"/>
                <w:color w:val="auto"/>
                <w:kern w:val="0"/>
                <w:sz w:val="21"/>
                <w:szCs w:val="21"/>
                <w:lang w:bidi="ar"/>
              </w:rPr>
              <w:t>3.若能获取供应商详细燃料消耗及锅炉效率数据，依据国家推荐方法自行核算的因子（需确保数据可靠，方法合规）；</w:t>
            </w:r>
          </w:p>
          <w:p w14:paraId="607410FF">
            <w:pPr>
              <w:widowControl/>
              <w:spacing w:line="240" w:lineRule="auto"/>
              <w:jc w:val="both"/>
              <w:textAlignment w:val="auto"/>
              <w:rPr>
                <w:rFonts w:hint="default" w:ascii="Times New Roman" w:hAnsi="Times New Roman" w:cs="Times New Roman"/>
                <w:color w:val="auto"/>
                <w:kern w:val="0"/>
                <w:sz w:val="21"/>
                <w:szCs w:val="21"/>
                <w:lang w:eastAsia="zh-CN" w:bidi="ar"/>
              </w:rPr>
            </w:pPr>
            <w:r>
              <w:rPr>
                <w:rFonts w:hint="default" w:ascii="Times New Roman" w:hAnsi="Times New Roman" w:cs="Times New Roman"/>
                <w:color w:val="auto"/>
                <w:kern w:val="0"/>
                <w:sz w:val="21"/>
                <w:szCs w:val="21"/>
                <w:lang w:bidi="ar"/>
              </w:rPr>
              <w:t>4.国家相关指南中关于</w:t>
            </w:r>
            <w:r>
              <w:rPr>
                <w:rFonts w:hint="eastAsia" w:cs="Times New Roman"/>
                <w:color w:val="auto"/>
                <w:kern w:val="0"/>
                <w:sz w:val="21"/>
                <w:szCs w:val="21"/>
                <w:lang w:eastAsia="zh-CN" w:bidi="ar"/>
              </w:rPr>
              <w:t>热</w:t>
            </w:r>
            <w:r>
              <w:rPr>
                <w:rFonts w:hint="default" w:ascii="Times New Roman" w:hAnsi="Times New Roman" w:cs="Times New Roman"/>
                <w:color w:val="auto"/>
                <w:kern w:val="0"/>
                <w:sz w:val="21"/>
                <w:szCs w:val="21"/>
                <w:lang w:bidi="ar"/>
              </w:rPr>
              <w:t>力生产的缺省参数或推荐估算方法</w:t>
            </w:r>
            <w:r>
              <w:rPr>
                <w:rFonts w:hint="default" w:ascii="Times New Roman" w:hAnsi="Times New Roman" w:cs="Times New Roman"/>
                <w:color w:val="auto"/>
                <w:kern w:val="0"/>
                <w:sz w:val="21"/>
                <w:szCs w:val="21"/>
                <w:lang w:eastAsia="zh-CN" w:bidi="ar"/>
              </w:rPr>
              <w:t>；</w:t>
            </w:r>
          </w:p>
          <w:p w14:paraId="469034CF">
            <w:pPr>
              <w:widowControl/>
              <w:spacing w:line="240" w:lineRule="auto"/>
              <w:jc w:val="both"/>
              <w:textAlignment w:val="auto"/>
              <w:rPr>
                <w:rFonts w:hint="default" w:ascii="Times New Roman" w:hAnsi="Times New Roman" w:cs="Times New Roman"/>
                <w:color w:val="auto"/>
                <w:kern w:val="0"/>
                <w:sz w:val="21"/>
                <w:szCs w:val="21"/>
                <w:lang w:bidi="ar"/>
              </w:rPr>
            </w:pPr>
            <w:r>
              <w:rPr>
                <w:rFonts w:hint="default" w:ascii="Times New Roman" w:hAnsi="Times New Roman" w:cs="Times New Roman"/>
                <w:color w:val="auto"/>
                <w:kern w:val="0"/>
                <w:sz w:val="21"/>
                <w:szCs w:val="21"/>
                <w:lang w:val="en-US" w:eastAsia="zh-CN" w:bidi="ar"/>
              </w:rPr>
              <w:t>5.国内权威机构建设基础数据库或公开发表的学术论文。</w:t>
            </w:r>
          </w:p>
        </w:tc>
        <w:tc>
          <w:tcPr>
            <w:tcW w:w="548" w:type="pct"/>
            <w:shd w:val="clear" w:color="auto" w:fill="auto"/>
            <w:tcMar>
              <w:top w:w="20" w:type="dxa"/>
              <w:left w:w="30" w:type="dxa"/>
              <w:bottom w:w="20" w:type="dxa"/>
              <w:right w:w="30" w:type="dxa"/>
            </w:tcMar>
            <w:vAlign w:val="center"/>
          </w:tcPr>
          <w:p w14:paraId="7D569A89">
            <w:pPr>
              <w:widowControl/>
              <w:spacing w:line="240" w:lineRule="auto"/>
              <w:jc w:val="center"/>
              <w:textAlignment w:val="auto"/>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lang w:bidi="ar"/>
              </w:rPr>
              <w:t>1&gt;2&gt;3&gt;4&gt;</w:t>
            </w:r>
            <w:r>
              <w:rPr>
                <w:rFonts w:hint="default" w:ascii="Times New Roman" w:hAnsi="Times New Roman" w:cs="Times New Roman"/>
                <w:color w:val="auto"/>
                <w:kern w:val="0"/>
                <w:sz w:val="21"/>
                <w:szCs w:val="21"/>
                <w:lang w:val="en-US" w:eastAsia="zh-CN" w:bidi="ar"/>
              </w:rPr>
              <w:t>5</w:t>
            </w:r>
          </w:p>
        </w:tc>
      </w:tr>
      <w:tr w14:paraId="27912E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10" w:hRule="atLeast"/>
        </w:trPr>
        <w:tc>
          <w:tcPr>
            <w:tcW w:w="308" w:type="pct"/>
            <w:shd w:val="clear" w:color="auto" w:fill="auto"/>
            <w:tcMar>
              <w:top w:w="20" w:type="dxa"/>
              <w:left w:w="30" w:type="dxa"/>
              <w:bottom w:w="20" w:type="dxa"/>
              <w:right w:w="30" w:type="dxa"/>
            </w:tcMar>
            <w:vAlign w:val="center"/>
          </w:tcPr>
          <w:p w14:paraId="24B1E636">
            <w:pPr>
              <w:widowControl/>
              <w:spacing w:line="240" w:lineRule="auto"/>
              <w:jc w:val="center"/>
              <w:textAlignment w:val="auto"/>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lang w:bidi="ar"/>
              </w:rPr>
              <w:t>8</w:t>
            </w:r>
          </w:p>
        </w:tc>
        <w:tc>
          <w:tcPr>
            <w:tcW w:w="868" w:type="pct"/>
            <w:shd w:val="clear" w:color="auto" w:fill="auto"/>
            <w:tcMar>
              <w:top w:w="20" w:type="dxa"/>
              <w:left w:w="30" w:type="dxa"/>
              <w:bottom w:w="20" w:type="dxa"/>
              <w:right w:w="30" w:type="dxa"/>
            </w:tcMar>
            <w:vAlign w:val="center"/>
          </w:tcPr>
          <w:p w14:paraId="75145EF5">
            <w:pPr>
              <w:widowControl/>
              <w:spacing w:line="240" w:lineRule="auto"/>
              <w:jc w:val="both"/>
              <w:textAlignment w:val="auto"/>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lang w:bidi="ar"/>
              </w:rPr>
              <w:t>焊接用CO</w:t>
            </w:r>
            <w:r>
              <w:rPr>
                <w:rFonts w:hint="default" w:ascii="Times New Roman" w:hAnsi="Times New Roman" w:cs="Times New Roman"/>
                <w:color w:val="auto"/>
                <w:kern w:val="0"/>
                <w:sz w:val="21"/>
                <w:szCs w:val="21"/>
                <w:vertAlign w:val="subscript"/>
                <w:lang w:bidi="ar"/>
              </w:rPr>
              <w:t>2</w:t>
            </w:r>
            <w:r>
              <w:rPr>
                <w:rFonts w:hint="default" w:ascii="Times New Roman" w:hAnsi="Times New Roman" w:cs="Times New Roman"/>
                <w:color w:val="auto"/>
                <w:kern w:val="0"/>
                <w:sz w:val="21"/>
                <w:szCs w:val="21"/>
                <w:lang w:bidi="ar"/>
              </w:rPr>
              <w:t>气体逸散排放因子</w:t>
            </w:r>
          </w:p>
        </w:tc>
        <w:tc>
          <w:tcPr>
            <w:tcW w:w="3273" w:type="pct"/>
            <w:shd w:val="clear" w:color="auto" w:fill="auto"/>
            <w:tcMar>
              <w:top w:w="20" w:type="dxa"/>
              <w:left w:w="30" w:type="dxa"/>
              <w:bottom w:w="20" w:type="dxa"/>
              <w:right w:w="30" w:type="dxa"/>
            </w:tcMar>
            <w:vAlign w:val="center"/>
          </w:tcPr>
          <w:p w14:paraId="282C333C">
            <w:pPr>
              <w:widowControl/>
              <w:spacing w:line="240" w:lineRule="auto"/>
              <w:jc w:val="both"/>
              <w:textAlignment w:val="auto"/>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lang w:bidi="ar"/>
              </w:rPr>
              <w:t>理论值：1.0(假设消耗的CO</w:t>
            </w:r>
            <w:r>
              <w:rPr>
                <w:rFonts w:hint="default" w:ascii="Times New Roman" w:hAnsi="Times New Roman" w:cs="Times New Roman"/>
                <w:color w:val="auto"/>
                <w:kern w:val="0"/>
                <w:sz w:val="21"/>
                <w:szCs w:val="21"/>
                <w:vertAlign w:val="subscript"/>
                <w:lang w:bidi="ar"/>
              </w:rPr>
              <w:t>2</w:t>
            </w:r>
            <w:r>
              <w:rPr>
                <w:rFonts w:hint="default" w:ascii="Times New Roman" w:hAnsi="Times New Roman" w:cs="Times New Roman"/>
                <w:color w:val="auto"/>
                <w:kern w:val="0"/>
                <w:sz w:val="21"/>
                <w:szCs w:val="21"/>
                <w:lang w:bidi="ar"/>
              </w:rPr>
              <w:t>气体全部作为直接排放)。</w:t>
            </w:r>
          </w:p>
        </w:tc>
        <w:tc>
          <w:tcPr>
            <w:tcW w:w="548" w:type="pct"/>
            <w:shd w:val="clear" w:color="auto" w:fill="auto"/>
            <w:tcMar>
              <w:top w:w="20" w:type="dxa"/>
              <w:left w:w="30" w:type="dxa"/>
              <w:bottom w:w="20" w:type="dxa"/>
              <w:right w:w="30" w:type="dxa"/>
            </w:tcMar>
            <w:vAlign w:val="center"/>
          </w:tcPr>
          <w:p w14:paraId="53CEB4A1">
            <w:pPr>
              <w:widowControl/>
              <w:spacing w:line="240" w:lineRule="auto"/>
              <w:jc w:val="center"/>
              <w:textAlignment w:val="auto"/>
              <w:rPr>
                <w:rFonts w:hint="default" w:ascii="Times New Roman" w:hAnsi="Times New Roman" w:eastAsia="宋体" w:cs="Times New Roman"/>
                <w:color w:val="auto"/>
                <w:kern w:val="0"/>
                <w:sz w:val="21"/>
                <w:szCs w:val="21"/>
                <w:lang w:eastAsia="zh-CN"/>
              </w:rPr>
            </w:pPr>
            <w:r>
              <w:rPr>
                <w:rFonts w:hint="default" w:ascii="Times New Roman" w:hAnsi="Times New Roman" w:cs="Times New Roman"/>
                <w:color w:val="auto"/>
                <w:kern w:val="0"/>
                <w:sz w:val="21"/>
                <w:szCs w:val="21"/>
                <w:lang w:val="en-US" w:eastAsia="zh-CN" w:bidi="ar"/>
              </w:rPr>
              <w:t>/</w:t>
            </w:r>
          </w:p>
        </w:tc>
      </w:tr>
      <w:tr w14:paraId="0DD2E1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9" w:hRule="atLeast"/>
        </w:trPr>
        <w:tc>
          <w:tcPr>
            <w:tcW w:w="308" w:type="pct"/>
            <w:shd w:val="clear" w:color="auto" w:fill="auto"/>
            <w:tcMar>
              <w:top w:w="20" w:type="dxa"/>
              <w:left w:w="30" w:type="dxa"/>
              <w:bottom w:w="20" w:type="dxa"/>
              <w:right w:w="30" w:type="dxa"/>
            </w:tcMar>
            <w:vAlign w:val="center"/>
          </w:tcPr>
          <w:p w14:paraId="78BB91D8">
            <w:pPr>
              <w:widowControl/>
              <w:spacing w:line="240" w:lineRule="auto"/>
              <w:jc w:val="center"/>
              <w:textAlignment w:val="auto"/>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lang w:bidi="ar"/>
              </w:rPr>
              <w:t>9</w:t>
            </w:r>
          </w:p>
        </w:tc>
        <w:tc>
          <w:tcPr>
            <w:tcW w:w="868" w:type="pct"/>
            <w:shd w:val="clear" w:color="auto" w:fill="auto"/>
            <w:tcMar>
              <w:top w:w="20" w:type="dxa"/>
              <w:left w:w="30" w:type="dxa"/>
              <w:bottom w:w="20" w:type="dxa"/>
              <w:right w:w="30" w:type="dxa"/>
            </w:tcMar>
            <w:vAlign w:val="center"/>
          </w:tcPr>
          <w:p w14:paraId="6A50EF5F">
            <w:pPr>
              <w:widowControl/>
              <w:spacing w:line="240" w:lineRule="auto"/>
              <w:jc w:val="both"/>
              <w:textAlignment w:val="auto"/>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lang w:bidi="ar"/>
              </w:rPr>
              <w:t>制冷剂逸散GWP值（用于折算CO</w:t>
            </w:r>
            <w:r>
              <w:rPr>
                <w:rFonts w:hint="default" w:ascii="Times New Roman" w:hAnsi="Times New Roman" w:cs="Times New Roman"/>
                <w:color w:val="auto"/>
                <w:kern w:val="0"/>
                <w:sz w:val="21"/>
                <w:szCs w:val="21"/>
                <w:vertAlign w:val="subscript"/>
                <w:lang w:bidi="ar"/>
              </w:rPr>
              <w:t>2</w:t>
            </w:r>
            <w:r>
              <w:rPr>
                <w:rFonts w:hint="default" w:ascii="Times New Roman" w:hAnsi="Times New Roman" w:cs="Times New Roman"/>
                <w:color w:val="auto"/>
                <w:kern w:val="0"/>
                <w:sz w:val="21"/>
                <w:szCs w:val="21"/>
                <w:lang w:bidi="ar"/>
              </w:rPr>
              <w:t>当量排放）</w:t>
            </w:r>
          </w:p>
        </w:tc>
        <w:tc>
          <w:tcPr>
            <w:tcW w:w="3273" w:type="pct"/>
            <w:shd w:val="clear" w:color="auto" w:fill="auto"/>
            <w:tcMar>
              <w:top w:w="20" w:type="dxa"/>
              <w:left w:w="30" w:type="dxa"/>
              <w:bottom w:w="20" w:type="dxa"/>
              <w:right w:w="30" w:type="dxa"/>
            </w:tcMar>
            <w:vAlign w:val="center"/>
          </w:tcPr>
          <w:p w14:paraId="24DCB4C1">
            <w:pPr>
              <w:widowControl/>
              <w:spacing w:line="240" w:lineRule="auto"/>
              <w:jc w:val="both"/>
              <w:textAlignment w:val="auto"/>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lang w:bidi="ar"/>
              </w:rPr>
              <w:t>国家主管部门（如生态环境部）官方发布的、针对特定种类制冷剂的最新百年尺度全球增温潜能值（GWP100）</w:t>
            </w:r>
          </w:p>
        </w:tc>
        <w:tc>
          <w:tcPr>
            <w:tcW w:w="548" w:type="pct"/>
            <w:shd w:val="clear" w:color="auto" w:fill="auto"/>
            <w:tcMar>
              <w:top w:w="20" w:type="dxa"/>
              <w:left w:w="30" w:type="dxa"/>
              <w:bottom w:w="20" w:type="dxa"/>
              <w:right w:w="30" w:type="dxa"/>
            </w:tcMar>
            <w:vAlign w:val="center"/>
          </w:tcPr>
          <w:p w14:paraId="20E73E9D">
            <w:pPr>
              <w:widowControl/>
              <w:spacing w:line="240" w:lineRule="auto"/>
              <w:jc w:val="center"/>
              <w:textAlignment w:val="auto"/>
              <w:rPr>
                <w:rFonts w:hint="default" w:ascii="Times New Roman" w:hAnsi="Times New Roman" w:eastAsia="宋体" w:cs="Times New Roman"/>
                <w:color w:val="auto"/>
                <w:kern w:val="0"/>
                <w:sz w:val="21"/>
                <w:szCs w:val="21"/>
                <w:lang w:eastAsia="zh-CN"/>
              </w:rPr>
            </w:pPr>
            <w:r>
              <w:rPr>
                <w:rFonts w:hint="default" w:ascii="Times New Roman" w:hAnsi="Times New Roman" w:cs="Times New Roman"/>
                <w:color w:val="auto"/>
                <w:kern w:val="0"/>
                <w:sz w:val="21"/>
                <w:szCs w:val="21"/>
                <w:lang w:val="en-US" w:eastAsia="zh-CN" w:bidi="ar"/>
              </w:rPr>
              <w:t>/</w:t>
            </w:r>
          </w:p>
        </w:tc>
      </w:tr>
      <w:tr w14:paraId="594225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10" w:hRule="atLeast"/>
        </w:trPr>
        <w:tc>
          <w:tcPr>
            <w:tcW w:w="308" w:type="pct"/>
            <w:shd w:val="clear" w:color="auto" w:fill="auto"/>
            <w:tcMar>
              <w:top w:w="20" w:type="dxa"/>
              <w:left w:w="30" w:type="dxa"/>
              <w:bottom w:w="20" w:type="dxa"/>
              <w:right w:w="30" w:type="dxa"/>
            </w:tcMar>
            <w:vAlign w:val="center"/>
          </w:tcPr>
          <w:p w14:paraId="16AF822F">
            <w:pPr>
              <w:widowControl/>
              <w:spacing w:line="240" w:lineRule="auto"/>
              <w:jc w:val="center"/>
              <w:textAlignment w:val="auto"/>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lang w:bidi="ar"/>
              </w:rPr>
              <w:t>10</w:t>
            </w:r>
          </w:p>
        </w:tc>
        <w:tc>
          <w:tcPr>
            <w:tcW w:w="868" w:type="pct"/>
            <w:shd w:val="clear" w:color="auto" w:fill="auto"/>
            <w:tcMar>
              <w:top w:w="20" w:type="dxa"/>
              <w:left w:w="30" w:type="dxa"/>
              <w:bottom w:w="20" w:type="dxa"/>
              <w:right w:w="30" w:type="dxa"/>
            </w:tcMar>
            <w:vAlign w:val="center"/>
          </w:tcPr>
          <w:p w14:paraId="561CA61D">
            <w:pPr>
              <w:widowControl/>
              <w:spacing w:line="240" w:lineRule="auto"/>
              <w:jc w:val="both"/>
              <w:textAlignment w:val="auto"/>
              <w:rPr>
                <w:rFonts w:hint="eastAsia" w:ascii="Times New Roman" w:hAnsi="Times New Roman" w:eastAsia="宋体" w:cs="Times New Roman"/>
                <w:color w:val="auto"/>
                <w:kern w:val="0"/>
                <w:sz w:val="21"/>
                <w:szCs w:val="21"/>
                <w:lang w:eastAsia="zh-CN"/>
              </w:rPr>
            </w:pPr>
            <w:r>
              <w:rPr>
                <w:rFonts w:hint="default" w:ascii="Times New Roman" w:hAnsi="Times New Roman" w:cs="Times New Roman"/>
                <w:color w:val="auto"/>
                <w:kern w:val="0"/>
                <w:sz w:val="21"/>
                <w:szCs w:val="21"/>
                <w:lang w:bidi="ar"/>
              </w:rPr>
              <w:t>厂内废弃物处理能源消耗对应</w:t>
            </w:r>
            <w:r>
              <w:rPr>
                <w:rFonts w:hint="eastAsia" w:cs="Times New Roman"/>
                <w:color w:val="auto"/>
                <w:kern w:val="0"/>
                <w:sz w:val="21"/>
                <w:szCs w:val="21"/>
                <w:lang w:eastAsia="zh-CN" w:bidi="ar"/>
              </w:rPr>
              <w:t>排放因子</w:t>
            </w:r>
          </w:p>
        </w:tc>
        <w:tc>
          <w:tcPr>
            <w:tcW w:w="3273" w:type="pct"/>
            <w:shd w:val="clear" w:color="auto" w:fill="auto"/>
            <w:tcMar>
              <w:top w:w="20" w:type="dxa"/>
              <w:left w:w="30" w:type="dxa"/>
              <w:bottom w:w="20" w:type="dxa"/>
              <w:right w:w="30" w:type="dxa"/>
            </w:tcMar>
            <w:vAlign w:val="center"/>
          </w:tcPr>
          <w:p w14:paraId="6BC310DA">
            <w:pPr>
              <w:widowControl/>
              <w:spacing w:line="240" w:lineRule="auto"/>
              <w:jc w:val="both"/>
              <w:textAlignment w:val="auto"/>
              <w:rPr>
                <w:rFonts w:hint="default" w:ascii="Times New Roman" w:hAnsi="Times New Roman" w:cs="Times New Roman"/>
                <w:color w:val="auto"/>
                <w:kern w:val="0"/>
                <w:sz w:val="21"/>
                <w:szCs w:val="21"/>
              </w:rPr>
            </w:pPr>
            <w:r>
              <w:rPr>
                <w:rFonts w:hint="default" w:ascii="Times New Roman" w:hAnsi="Times New Roman" w:cs="Times New Roman"/>
                <w:color w:val="auto"/>
                <w:kern w:val="0"/>
                <w:sz w:val="21"/>
                <w:szCs w:val="21"/>
                <w:lang w:bidi="ar"/>
              </w:rPr>
              <w:t>此因子本身不独立存在，而是指：若厂内废弃物处理过程（如破碎、压缩打包、特定焚烧或化学处理）消耗能源，则该部分能源消耗的</w:t>
            </w:r>
            <w:r>
              <w:rPr>
                <w:rFonts w:hint="default" w:ascii="Times New Roman" w:hAnsi="Times New Roman" w:cs="Times New Roman"/>
                <w:color w:val="auto"/>
                <w:kern w:val="0"/>
                <w:sz w:val="21"/>
                <w:szCs w:val="21"/>
                <w:lang w:val="en-US" w:eastAsia="zh-CN" w:bidi="ar"/>
              </w:rPr>
              <w:t>碳</w:t>
            </w:r>
            <w:r>
              <w:rPr>
                <w:rFonts w:hint="default" w:ascii="Times New Roman" w:hAnsi="Times New Roman" w:cs="Times New Roman"/>
                <w:color w:val="auto"/>
                <w:kern w:val="0"/>
                <w:sz w:val="21"/>
                <w:szCs w:val="21"/>
                <w:lang w:bidi="ar"/>
              </w:rPr>
              <w:t>排放应采用条目1-6中对应的电力或燃料排放因子进行计算。</w:t>
            </w:r>
          </w:p>
        </w:tc>
        <w:tc>
          <w:tcPr>
            <w:tcW w:w="548" w:type="pct"/>
            <w:shd w:val="clear" w:color="auto" w:fill="auto"/>
            <w:tcMar>
              <w:top w:w="20" w:type="dxa"/>
              <w:bottom w:w="20" w:type="dxa"/>
            </w:tcMar>
            <w:vAlign w:val="center"/>
          </w:tcPr>
          <w:p w14:paraId="26541F84">
            <w:pPr>
              <w:widowControl/>
              <w:spacing w:line="240" w:lineRule="auto"/>
              <w:jc w:val="center"/>
              <w:textAlignment w:val="auto"/>
              <w:rPr>
                <w:rFonts w:hint="default" w:ascii="Times New Roman" w:hAnsi="Times New Roman" w:eastAsia="宋体" w:cs="Times New Roman"/>
                <w:color w:val="auto"/>
                <w:kern w:val="0"/>
                <w:sz w:val="21"/>
                <w:szCs w:val="21"/>
                <w:lang w:eastAsia="zh-CN"/>
              </w:rPr>
            </w:pPr>
            <w:r>
              <w:rPr>
                <w:rFonts w:hint="default" w:ascii="Times New Roman" w:hAnsi="Times New Roman" w:cs="Times New Roman"/>
                <w:color w:val="auto"/>
                <w:kern w:val="0"/>
                <w:sz w:val="21"/>
                <w:szCs w:val="21"/>
                <w:lang w:val="en-US" w:eastAsia="zh-CN" w:bidi="ar"/>
              </w:rPr>
              <w:t>/</w:t>
            </w:r>
          </w:p>
        </w:tc>
      </w:tr>
    </w:tbl>
    <w:p w14:paraId="41D8A115">
      <w:pPr>
        <w:ind w:firstLine="480" w:firstLineChars="200"/>
        <w:rPr>
          <w:rFonts w:hint="default" w:ascii="Times New Roman" w:hAnsi="Times New Roman" w:cs="Times New Roman"/>
          <w:color w:val="auto"/>
          <w:szCs w:val="28"/>
        </w:rPr>
      </w:pPr>
    </w:p>
    <w:p w14:paraId="749007F6">
      <w:pPr>
        <w:rPr>
          <w:rFonts w:hint="default" w:ascii="Times New Roman" w:hAnsi="Times New Roman" w:cs="Times New Roman"/>
          <w:color w:val="auto"/>
          <w:szCs w:val="28"/>
        </w:rPr>
        <w:sectPr>
          <w:pgSz w:w="11906" w:h="16838"/>
          <w:pgMar w:top="1440" w:right="1800" w:bottom="1440" w:left="1800" w:header="851" w:footer="992" w:gutter="0"/>
          <w:cols w:space="425" w:num="1"/>
          <w:docGrid w:type="lines" w:linePitch="312" w:charSpace="0"/>
        </w:sectPr>
      </w:pPr>
    </w:p>
    <w:p w14:paraId="548E63EC">
      <w:pPr>
        <w:pStyle w:val="3"/>
        <w:jc w:val="left"/>
        <w:rPr>
          <w:rFonts w:hint="default" w:ascii="Times New Roman" w:hAnsi="Times New Roman" w:cs="Times New Roman"/>
          <w:bCs w:val="0"/>
          <w:color w:val="auto"/>
          <w:szCs w:val="24"/>
        </w:rPr>
      </w:pPr>
      <w:bookmarkStart w:id="115" w:name="_Toc5225"/>
      <w:bookmarkStart w:id="116" w:name="_Toc17377"/>
      <w:bookmarkStart w:id="117" w:name="_Toc27657"/>
      <w:bookmarkStart w:id="118" w:name="_Toc11589"/>
      <w:r>
        <w:rPr>
          <w:rFonts w:hint="default" w:ascii="Times New Roman" w:hAnsi="Times New Roman" w:cs="Times New Roman"/>
          <w:bCs w:val="0"/>
          <w:color w:val="auto"/>
          <w:szCs w:val="24"/>
        </w:rPr>
        <w:t>附录C</w:t>
      </w:r>
      <w:bookmarkEnd w:id="115"/>
      <w:bookmarkEnd w:id="116"/>
      <w:bookmarkEnd w:id="117"/>
      <w:bookmarkEnd w:id="118"/>
      <w:r>
        <w:rPr>
          <w:rFonts w:hint="default" w:ascii="Times New Roman" w:hAnsi="Times New Roman" w:cs="Times New Roman"/>
          <w:bCs w:val="0"/>
          <w:color w:val="auto"/>
          <w:szCs w:val="24"/>
        </w:rPr>
        <w:t xml:space="preserve"> </w:t>
      </w:r>
    </w:p>
    <w:p w14:paraId="759C42CD">
      <w:pPr>
        <w:jc w:val="center"/>
        <w:rPr>
          <w:rFonts w:hint="default" w:ascii="Times New Roman" w:hAnsi="Times New Roman" w:cs="Times New Roman"/>
          <w:color w:val="auto"/>
          <w:szCs w:val="28"/>
        </w:rPr>
      </w:pPr>
      <w:bookmarkStart w:id="119" w:name="_Hlk146527029"/>
      <w:r>
        <w:rPr>
          <w:rFonts w:hint="eastAsia" w:eastAsia="黑体" w:cs="Times New Roman"/>
          <w:color w:val="auto"/>
          <w:szCs w:val="24"/>
          <w:lang w:eastAsia="zh-CN"/>
        </w:rPr>
        <w:t>装配式建筑物化阶段</w:t>
      </w:r>
      <w:r>
        <w:rPr>
          <w:rFonts w:hint="default" w:ascii="Times New Roman" w:hAnsi="Times New Roman" w:eastAsia="黑体" w:cs="Times New Roman"/>
          <w:color w:val="auto"/>
          <w:szCs w:val="24"/>
        </w:rPr>
        <w:t>碳排放技术</w:t>
      </w:r>
      <w:r>
        <w:rPr>
          <w:rFonts w:hint="eastAsia" w:eastAsia="黑体" w:cs="Times New Roman"/>
          <w:color w:val="auto"/>
          <w:szCs w:val="24"/>
          <w:lang w:val="en-US" w:eastAsia="zh-CN"/>
        </w:rPr>
        <w:t>要求</w:t>
      </w:r>
      <w:r>
        <w:rPr>
          <w:rFonts w:hint="default" w:ascii="Times New Roman" w:hAnsi="Times New Roman" w:eastAsia="黑体" w:cs="Times New Roman"/>
          <w:color w:val="auto"/>
          <w:szCs w:val="24"/>
        </w:rPr>
        <w:t>报告模板</w:t>
      </w:r>
    </w:p>
    <w:bookmarkEnd w:id="119"/>
    <w:p w14:paraId="06BBAC29">
      <w:pPr>
        <w:rPr>
          <w:rFonts w:hint="default" w:ascii="Times New Roman" w:hAnsi="Times New Roman" w:cs="Times New Roman"/>
          <w:color w:val="auto"/>
          <w:szCs w:val="28"/>
        </w:rPr>
      </w:pPr>
    </w:p>
    <w:p w14:paraId="68C853C5">
      <w:pPr>
        <w:rPr>
          <w:rFonts w:hint="default" w:ascii="Times New Roman" w:hAnsi="Times New Roman" w:cs="Times New Roman"/>
          <w:color w:val="auto"/>
          <w:szCs w:val="28"/>
        </w:rPr>
      </w:pPr>
    </w:p>
    <w:p w14:paraId="68429337">
      <w:pPr>
        <w:rPr>
          <w:rFonts w:hint="default" w:ascii="Times New Roman" w:hAnsi="Times New Roman" w:cs="Times New Roman"/>
          <w:color w:val="auto"/>
          <w:szCs w:val="28"/>
        </w:rPr>
      </w:pPr>
    </w:p>
    <w:p w14:paraId="5D169F56">
      <w:pPr>
        <w:rPr>
          <w:rFonts w:hint="default" w:ascii="Times New Roman" w:hAnsi="Times New Roman" w:cs="Times New Roman"/>
          <w:color w:val="auto"/>
          <w:szCs w:val="28"/>
        </w:rPr>
      </w:pPr>
    </w:p>
    <w:p w14:paraId="47EB97D5">
      <w:pPr>
        <w:rPr>
          <w:rFonts w:hint="default" w:ascii="Times New Roman" w:hAnsi="Times New Roman" w:cs="Times New Roman"/>
          <w:color w:val="auto"/>
          <w:szCs w:val="28"/>
        </w:rPr>
      </w:pPr>
    </w:p>
    <w:p w14:paraId="342CAE4E">
      <w:pPr>
        <w:rPr>
          <w:rFonts w:hint="default" w:ascii="Times New Roman" w:hAnsi="Times New Roman" w:cs="Times New Roman"/>
          <w:color w:val="auto"/>
          <w:szCs w:val="28"/>
        </w:rPr>
      </w:pPr>
    </w:p>
    <w:p w14:paraId="3127BDB4">
      <w:pPr>
        <w:jc w:val="center"/>
        <w:rPr>
          <w:rFonts w:hint="default" w:ascii="Times New Roman" w:hAnsi="Times New Roman" w:eastAsia="黑体" w:cs="Times New Roman"/>
          <w:color w:val="auto"/>
          <w:sz w:val="36"/>
          <w:szCs w:val="40"/>
        </w:rPr>
      </w:pPr>
      <w:r>
        <w:rPr>
          <w:rFonts w:hint="eastAsia" w:eastAsia="黑体" w:cs="Times New Roman"/>
          <w:color w:val="auto"/>
          <w:sz w:val="36"/>
          <w:szCs w:val="40"/>
          <w:lang w:eastAsia="zh-CN"/>
        </w:rPr>
        <w:t>装配式建筑物化阶段</w:t>
      </w:r>
      <w:r>
        <w:rPr>
          <w:rFonts w:hint="default" w:ascii="Times New Roman" w:hAnsi="Times New Roman" w:eastAsia="黑体" w:cs="Times New Roman"/>
          <w:color w:val="auto"/>
          <w:sz w:val="36"/>
          <w:szCs w:val="40"/>
        </w:rPr>
        <w:t>碳排放技术</w:t>
      </w:r>
      <w:r>
        <w:rPr>
          <w:rFonts w:hint="eastAsia" w:eastAsia="黑体" w:cs="Times New Roman"/>
          <w:color w:val="auto"/>
          <w:sz w:val="36"/>
          <w:szCs w:val="40"/>
          <w:lang w:val="en-US" w:eastAsia="zh-CN"/>
        </w:rPr>
        <w:t>要求</w:t>
      </w:r>
      <w:r>
        <w:rPr>
          <w:rFonts w:hint="default" w:ascii="Times New Roman" w:hAnsi="Times New Roman" w:eastAsia="黑体" w:cs="Times New Roman"/>
          <w:color w:val="auto"/>
          <w:sz w:val="36"/>
          <w:szCs w:val="40"/>
        </w:rPr>
        <w:t>报告</w:t>
      </w:r>
    </w:p>
    <w:p w14:paraId="5CA57449">
      <w:pPr>
        <w:spacing w:before="156" w:beforeLines="50"/>
        <w:jc w:val="center"/>
        <w:rPr>
          <w:rFonts w:hint="default" w:ascii="Times New Roman" w:hAnsi="Times New Roman" w:eastAsia="黑体" w:cs="Times New Roman"/>
          <w:color w:val="auto"/>
          <w:sz w:val="28"/>
          <w:szCs w:val="32"/>
          <w:u w:val="single" w:color="000000" w:themeColor="text1"/>
          <w:lang w:val="en-US"/>
        </w:rPr>
      </w:pPr>
      <w:r>
        <w:rPr>
          <w:rFonts w:hint="default" w:ascii="Times New Roman" w:hAnsi="Times New Roman" w:eastAsia="黑体" w:cs="Times New Roman"/>
          <w:color w:val="auto"/>
          <w:sz w:val="24"/>
          <w:szCs w:val="28"/>
        </w:rPr>
        <w:t>报告编号</w:t>
      </w:r>
      <w:r>
        <w:rPr>
          <w:rFonts w:hint="default" w:ascii="Times New Roman" w:hAnsi="Times New Roman" w:eastAsia="黑体" w:cs="Times New Roman"/>
          <w:color w:val="auto"/>
          <w:sz w:val="24"/>
          <w:szCs w:val="28"/>
          <w:u w:val="single" w:color="auto"/>
          <w:lang w:val="en-US" w:eastAsia="zh-CN"/>
        </w:rPr>
        <w:t xml:space="preserve">    </w:t>
      </w:r>
      <w:r>
        <w:rPr>
          <w:rFonts w:hint="default" w:ascii="Times New Roman" w:hAnsi="Times New Roman" w:eastAsia="黑体" w:cs="Times New Roman"/>
          <w:color w:val="auto"/>
          <w:sz w:val="24"/>
          <w:szCs w:val="28"/>
          <w:u w:val="single" w:color="auto"/>
        </w:rPr>
        <w:t xml:space="preserve">   </w:t>
      </w:r>
      <w:r>
        <w:rPr>
          <w:rFonts w:hint="default" w:ascii="Times New Roman" w:hAnsi="Times New Roman" w:eastAsia="黑体" w:cs="Times New Roman"/>
          <w:color w:val="auto"/>
          <w:sz w:val="24"/>
          <w:szCs w:val="28"/>
          <w:u w:val="single" w:color="auto"/>
          <w:lang w:val="en-US" w:eastAsia="zh-CN"/>
        </w:rPr>
        <w:t xml:space="preserve">      </w:t>
      </w:r>
    </w:p>
    <w:p w14:paraId="526B02D0">
      <w:pPr>
        <w:jc w:val="center"/>
        <w:rPr>
          <w:rFonts w:hint="default" w:ascii="Times New Roman" w:hAnsi="Times New Roman" w:eastAsia="黑体" w:cs="Times New Roman"/>
          <w:color w:val="auto"/>
          <w:szCs w:val="28"/>
        </w:rPr>
      </w:pPr>
    </w:p>
    <w:p w14:paraId="6E57CDC9">
      <w:pPr>
        <w:jc w:val="center"/>
        <w:rPr>
          <w:rFonts w:hint="default" w:ascii="Times New Roman" w:hAnsi="Times New Roman" w:eastAsia="黑体" w:cs="Times New Roman"/>
          <w:color w:val="auto"/>
          <w:szCs w:val="28"/>
        </w:rPr>
      </w:pPr>
    </w:p>
    <w:p w14:paraId="397E8B43">
      <w:pPr>
        <w:jc w:val="center"/>
        <w:rPr>
          <w:rFonts w:hint="default" w:ascii="Times New Roman" w:hAnsi="Times New Roman" w:eastAsia="黑体" w:cs="Times New Roman"/>
          <w:color w:val="auto"/>
          <w:szCs w:val="28"/>
        </w:rPr>
      </w:pPr>
    </w:p>
    <w:p w14:paraId="46B14AE7">
      <w:pPr>
        <w:jc w:val="center"/>
        <w:rPr>
          <w:rFonts w:hint="default" w:ascii="Times New Roman" w:hAnsi="Times New Roman" w:eastAsia="黑体" w:cs="Times New Roman"/>
          <w:color w:val="auto"/>
          <w:szCs w:val="28"/>
        </w:rPr>
      </w:pPr>
    </w:p>
    <w:p w14:paraId="1A935749">
      <w:pPr>
        <w:jc w:val="center"/>
        <w:rPr>
          <w:rFonts w:hint="default" w:ascii="Times New Roman" w:hAnsi="Times New Roman" w:eastAsia="黑体" w:cs="Times New Roman"/>
          <w:color w:val="auto"/>
          <w:szCs w:val="28"/>
        </w:rPr>
      </w:pPr>
    </w:p>
    <w:p w14:paraId="21885D6B">
      <w:pPr>
        <w:jc w:val="center"/>
        <w:rPr>
          <w:rFonts w:hint="default" w:ascii="Times New Roman" w:hAnsi="Times New Roman" w:eastAsia="黑体" w:cs="Times New Roman"/>
          <w:color w:val="auto"/>
          <w:szCs w:val="28"/>
        </w:rPr>
      </w:pPr>
    </w:p>
    <w:p w14:paraId="077499CE">
      <w:pPr>
        <w:jc w:val="center"/>
        <w:rPr>
          <w:rFonts w:hint="default" w:ascii="Times New Roman" w:hAnsi="Times New Roman" w:eastAsia="黑体" w:cs="Times New Roman"/>
          <w:color w:val="auto"/>
          <w:szCs w:val="28"/>
        </w:rPr>
      </w:pPr>
    </w:p>
    <w:p w14:paraId="1F3D35B3">
      <w:pPr>
        <w:jc w:val="center"/>
        <w:rPr>
          <w:rFonts w:hint="default" w:ascii="Times New Roman" w:hAnsi="Times New Roman" w:eastAsia="黑体" w:cs="Times New Roman"/>
          <w:color w:val="auto"/>
          <w:szCs w:val="28"/>
        </w:rPr>
      </w:pPr>
    </w:p>
    <w:p w14:paraId="0A41E0E8">
      <w:pPr>
        <w:jc w:val="center"/>
        <w:rPr>
          <w:rFonts w:hint="default" w:ascii="Times New Roman" w:hAnsi="Times New Roman" w:eastAsia="黑体" w:cs="Times New Roman"/>
          <w:color w:val="auto"/>
          <w:szCs w:val="28"/>
        </w:rPr>
      </w:pPr>
    </w:p>
    <w:p w14:paraId="44922F4C">
      <w:pPr>
        <w:spacing w:line="360" w:lineRule="auto"/>
        <w:jc w:val="center"/>
        <w:rPr>
          <w:rFonts w:ascii="黑体" w:hAnsi="黑体" w:eastAsia="黑体" w:cs="Times New Roman"/>
          <w:color w:val="FFFFFF" w:themeColor="background1"/>
          <w:sz w:val="24"/>
          <w:szCs w:val="28"/>
          <w14:textFill>
            <w14:solidFill>
              <w14:schemeClr w14:val="bg1"/>
            </w14:solidFill>
          </w14:textFill>
        </w:rPr>
      </w:pPr>
    </w:p>
    <w:tbl>
      <w:tblPr>
        <w:tblStyle w:val="2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01"/>
        <w:gridCol w:w="4394"/>
      </w:tblGrid>
      <w:tr w14:paraId="3299EF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701" w:type="dxa"/>
            <w:tcBorders>
              <w:top w:val="nil"/>
              <w:left w:val="nil"/>
              <w:bottom w:val="nil"/>
              <w:right w:val="nil"/>
            </w:tcBorders>
          </w:tcPr>
          <w:p w14:paraId="6CB7BCCC">
            <w:pPr>
              <w:spacing w:line="360" w:lineRule="auto"/>
              <w:jc w:val="right"/>
              <w:rPr>
                <w:rFonts w:ascii="黑体" w:hAnsi="黑体" w:eastAsia="黑体" w:cs="Times New Roman"/>
                <w:color w:val="FFFFFF" w:themeColor="background1"/>
                <w:sz w:val="24"/>
                <w:szCs w:val="28"/>
                <w14:textFill>
                  <w14:solidFill>
                    <w14:schemeClr w14:val="bg1"/>
                  </w14:solidFill>
                </w14:textFill>
              </w:rPr>
            </w:pPr>
            <w:r>
              <w:rPr>
                <w:rFonts w:hint="eastAsia" w:ascii="黑体" w:hAnsi="黑体" w:eastAsia="黑体" w:cs="Times New Roman"/>
                <w:color w:val="000000" w:themeColor="text1"/>
                <w:sz w:val="24"/>
                <w:szCs w:val="28"/>
                <w14:textFill>
                  <w14:solidFill>
                    <w14:schemeClr w14:val="tx1"/>
                  </w14:solidFill>
                </w14:textFill>
              </w:rPr>
              <w:t>单位名称：</w:t>
            </w:r>
          </w:p>
        </w:tc>
        <w:tc>
          <w:tcPr>
            <w:tcW w:w="4394" w:type="dxa"/>
            <w:tcBorders>
              <w:top w:val="nil"/>
              <w:left w:val="nil"/>
              <w:bottom w:val="single" w:color="auto" w:sz="4" w:space="0"/>
              <w:right w:val="nil"/>
            </w:tcBorders>
          </w:tcPr>
          <w:p w14:paraId="5FD2BC98">
            <w:pPr>
              <w:spacing w:line="360" w:lineRule="auto"/>
              <w:jc w:val="center"/>
              <w:rPr>
                <w:rFonts w:ascii="黑体" w:hAnsi="黑体" w:eastAsia="黑体" w:cs="Times New Roman"/>
                <w:color w:val="000000" w:themeColor="text1"/>
                <w:sz w:val="24"/>
                <w:szCs w:val="28"/>
                <w14:textFill>
                  <w14:solidFill>
                    <w14:schemeClr w14:val="tx1"/>
                  </w14:solidFill>
                </w14:textFill>
              </w:rPr>
            </w:pPr>
          </w:p>
        </w:tc>
      </w:tr>
      <w:tr w14:paraId="788068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701" w:type="dxa"/>
            <w:tcBorders>
              <w:top w:val="nil"/>
              <w:left w:val="nil"/>
              <w:bottom w:val="nil"/>
              <w:right w:val="nil"/>
            </w:tcBorders>
          </w:tcPr>
          <w:p w14:paraId="10890CCA">
            <w:pPr>
              <w:spacing w:line="360" w:lineRule="auto"/>
              <w:jc w:val="right"/>
              <w:rPr>
                <w:rFonts w:ascii="黑体" w:hAnsi="黑体" w:eastAsia="黑体" w:cs="Times New Roman"/>
                <w:color w:val="FFFFFF" w:themeColor="background1"/>
                <w:sz w:val="24"/>
                <w:szCs w:val="28"/>
                <w14:textFill>
                  <w14:solidFill>
                    <w14:schemeClr w14:val="bg1"/>
                  </w14:solidFill>
                </w14:textFill>
              </w:rPr>
            </w:pPr>
            <w:r>
              <w:rPr>
                <w:rFonts w:hint="eastAsia" w:ascii="黑体" w:hAnsi="黑体" w:eastAsia="黑体" w:cs="Times New Roman"/>
                <w:color w:val="000000" w:themeColor="text1"/>
                <w:sz w:val="24"/>
                <w:szCs w:val="28"/>
                <w:lang w:val="en-US" w:eastAsia="zh-CN"/>
                <w14:textFill>
                  <w14:solidFill>
                    <w14:schemeClr w14:val="tx1"/>
                  </w14:solidFill>
                </w14:textFill>
              </w:rPr>
              <w:t>计量批次</w:t>
            </w:r>
            <w:r>
              <w:rPr>
                <w:rFonts w:hint="eastAsia" w:ascii="黑体" w:hAnsi="黑体" w:eastAsia="黑体" w:cs="Times New Roman"/>
                <w:color w:val="000000" w:themeColor="text1"/>
                <w:sz w:val="24"/>
                <w:szCs w:val="28"/>
                <w14:textFill>
                  <w14:solidFill>
                    <w14:schemeClr w14:val="tx1"/>
                  </w14:solidFill>
                </w14:textFill>
              </w:rPr>
              <w:t>：</w:t>
            </w:r>
          </w:p>
        </w:tc>
        <w:tc>
          <w:tcPr>
            <w:tcW w:w="4394" w:type="dxa"/>
            <w:tcBorders>
              <w:top w:val="single" w:color="auto" w:sz="4" w:space="0"/>
              <w:left w:val="nil"/>
              <w:bottom w:val="single" w:color="auto" w:sz="4" w:space="0"/>
              <w:right w:val="nil"/>
            </w:tcBorders>
          </w:tcPr>
          <w:p w14:paraId="74BC57C7">
            <w:pPr>
              <w:spacing w:line="360" w:lineRule="auto"/>
              <w:jc w:val="center"/>
              <w:rPr>
                <w:rFonts w:ascii="黑体" w:hAnsi="黑体" w:eastAsia="黑体" w:cs="Times New Roman"/>
                <w:color w:val="000000" w:themeColor="text1"/>
                <w:sz w:val="24"/>
                <w:szCs w:val="28"/>
                <w14:textFill>
                  <w14:solidFill>
                    <w14:schemeClr w14:val="tx1"/>
                  </w14:solidFill>
                </w14:textFill>
              </w:rPr>
            </w:pPr>
          </w:p>
        </w:tc>
      </w:tr>
      <w:tr w14:paraId="4E8433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701" w:type="dxa"/>
            <w:tcBorders>
              <w:top w:val="nil"/>
              <w:left w:val="nil"/>
              <w:bottom w:val="nil"/>
              <w:right w:val="nil"/>
            </w:tcBorders>
          </w:tcPr>
          <w:p w14:paraId="7137BB6B">
            <w:pPr>
              <w:spacing w:line="360" w:lineRule="auto"/>
              <w:jc w:val="right"/>
              <w:rPr>
                <w:rFonts w:ascii="黑体" w:hAnsi="黑体" w:eastAsia="黑体" w:cs="Times New Roman"/>
                <w:color w:val="FFFFFF" w:themeColor="background1"/>
                <w:sz w:val="24"/>
                <w:szCs w:val="28"/>
                <w14:textFill>
                  <w14:solidFill>
                    <w14:schemeClr w14:val="bg1"/>
                  </w14:solidFill>
                </w14:textFill>
              </w:rPr>
            </w:pPr>
            <w:r>
              <w:rPr>
                <w:rFonts w:hint="eastAsia" w:ascii="黑体" w:hAnsi="黑体" w:eastAsia="黑体" w:cs="Times New Roman"/>
                <w:color w:val="000000" w:themeColor="text1"/>
                <w:sz w:val="24"/>
                <w:szCs w:val="28"/>
                <w14:textFill>
                  <w14:solidFill>
                    <w14:schemeClr w14:val="tx1"/>
                  </w14:solidFill>
                </w14:textFill>
              </w:rPr>
              <w:t>报告日期：</w:t>
            </w:r>
          </w:p>
        </w:tc>
        <w:tc>
          <w:tcPr>
            <w:tcW w:w="4394" w:type="dxa"/>
            <w:tcBorders>
              <w:top w:val="single" w:color="auto" w:sz="4" w:space="0"/>
              <w:left w:val="nil"/>
              <w:bottom w:val="single" w:color="auto" w:sz="4" w:space="0"/>
              <w:right w:val="nil"/>
            </w:tcBorders>
          </w:tcPr>
          <w:p w14:paraId="021DDBC1">
            <w:pPr>
              <w:spacing w:line="360" w:lineRule="auto"/>
              <w:jc w:val="center"/>
              <w:rPr>
                <w:rFonts w:ascii="黑体" w:hAnsi="黑体" w:eastAsia="黑体" w:cs="Times New Roman"/>
                <w:color w:val="000000" w:themeColor="text1"/>
                <w:sz w:val="24"/>
                <w:szCs w:val="28"/>
                <w14:textFill>
                  <w14:solidFill>
                    <w14:schemeClr w14:val="tx1"/>
                  </w14:solidFill>
                </w14:textFill>
              </w:rPr>
            </w:pPr>
          </w:p>
        </w:tc>
      </w:tr>
    </w:tbl>
    <w:p w14:paraId="40B9DFFF">
      <w:pPr>
        <w:spacing w:line="360" w:lineRule="auto"/>
        <w:jc w:val="center"/>
        <w:rPr>
          <w:rFonts w:ascii="黑体" w:hAnsi="黑体" w:eastAsia="黑体" w:cs="Times New Roman"/>
          <w:color w:val="FFFFFF" w:themeColor="background1"/>
          <w:sz w:val="24"/>
          <w:szCs w:val="28"/>
          <w14:textFill>
            <w14:solidFill>
              <w14:schemeClr w14:val="bg1"/>
            </w14:solidFill>
          </w14:textFill>
        </w:rPr>
      </w:pPr>
    </w:p>
    <w:p w14:paraId="35D30038">
      <w:pPr>
        <w:spacing w:line="360" w:lineRule="auto"/>
        <w:jc w:val="center"/>
        <w:rPr>
          <w:rFonts w:ascii="黑体" w:hAnsi="黑体" w:eastAsia="黑体" w:cs="Times New Roman"/>
          <w:color w:val="FFFFFF" w:themeColor="background1"/>
          <w:sz w:val="24"/>
          <w:szCs w:val="28"/>
          <w:u w:val="single" w:color="000000" w:themeColor="text1"/>
          <w14:textFill>
            <w14:solidFill>
              <w14:schemeClr w14:val="bg1"/>
            </w14:solidFill>
          </w14:textFill>
        </w:rPr>
      </w:pPr>
    </w:p>
    <w:p w14:paraId="5791C2E1">
      <w:pPr>
        <w:jc w:val="center"/>
        <w:rPr>
          <w:rFonts w:hint="default" w:ascii="Times New Roman" w:hAnsi="Times New Roman" w:eastAsia="黑体" w:cs="Times New Roman"/>
          <w:color w:val="auto"/>
          <w:szCs w:val="28"/>
        </w:rPr>
      </w:pPr>
    </w:p>
    <w:p w14:paraId="2E8B9267">
      <w:pPr>
        <w:jc w:val="center"/>
        <w:rPr>
          <w:rFonts w:hint="default" w:ascii="Times New Roman" w:hAnsi="Times New Roman" w:eastAsia="黑体" w:cs="Times New Roman"/>
          <w:color w:val="auto"/>
          <w:szCs w:val="28"/>
        </w:rPr>
      </w:pPr>
    </w:p>
    <w:p w14:paraId="270C1BD5">
      <w:pPr>
        <w:jc w:val="center"/>
        <w:rPr>
          <w:rFonts w:hint="default" w:ascii="Times New Roman" w:hAnsi="Times New Roman" w:eastAsia="黑体" w:cs="Times New Roman"/>
          <w:color w:val="auto"/>
          <w:szCs w:val="28"/>
          <w:u w:val="single" w:color="000000" w:themeColor="text1"/>
        </w:rPr>
      </w:pPr>
    </w:p>
    <w:p w14:paraId="16946ED5">
      <w:pPr>
        <w:rPr>
          <w:rFonts w:hint="default" w:ascii="Times New Roman" w:hAnsi="Times New Roman" w:eastAsia="黑体" w:cs="Times New Roman"/>
          <w:color w:val="auto"/>
          <w:szCs w:val="28"/>
        </w:rPr>
      </w:pPr>
      <w:r>
        <w:rPr>
          <w:rFonts w:hint="default" w:ascii="Times New Roman" w:hAnsi="Times New Roman" w:eastAsia="黑体" w:cs="Times New Roman"/>
          <w:color w:val="auto"/>
          <w:szCs w:val="28"/>
        </w:rPr>
        <w:t>一、构件工厂基本信息</w:t>
      </w:r>
    </w:p>
    <w:tbl>
      <w:tblPr>
        <w:tblStyle w:val="20"/>
        <w:tblW w:w="8296" w:type="dxa"/>
        <w:tblInd w:w="8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11"/>
        <w:gridCol w:w="6285"/>
      </w:tblGrid>
      <w:tr w14:paraId="37478B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11" w:type="dxa"/>
            <w:tcBorders>
              <w:top w:val="single" w:color="auto" w:sz="4" w:space="0"/>
              <w:left w:val="single" w:color="auto" w:sz="4" w:space="0"/>
              <w:bottom w:val="single" w:color="auto" w:sz="4" w:space="0"/>
              <w:right w:val="single" w:color="auto" w:sz="4" w:space="0"/>
            </w:tcBorders>
            <w:tcMar>
              <w:top w:w="28" w:type="dxa"/>
              <w:left w:w="28" w:type="dxa"/>
              <w:bottom w:w="28" w:type="dxa"/>
              <w:right w:w="28" w:type="dxa"/>
            </w:tcMar>
            <w:vAlign w:val="center"/>
          </w:tcPr>
          <w:p w14:paraId="576C9A8C">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工厂名称</w:t>
            </w:r>
          </w:p>
        </w:tc>
        <w:tc>
          <w:tcPr>
            <w:tcW w:w="6285" w:type="dxa"/>
            <w:tcBorders>
              <w:top w:val="single" w:color="auto" w:sz="4" w:space="0"/>
              <w:left w:val="single" w:color="auto" w:sz="4" w:space="0"/>
              <w:bottom w:val="single" w:color="auto" w:sz="4" w:space="0"/>
              <w:right w:val="single" w:color="auto" w:sz="4" w:space="0"/>
            </w:tcBorders>
            <w:tcMar>
              <w:top w:w="28" w:type="dxa"/>
              <w:left w:w="28" w:type="dxa"/>
              <w:bottom w:w="28" w:type="dxa"/>
              <w:right w:w="28" w:type="dxa"/>
            </w:tcMar>
            <w:vAlign w:val="center"/>
          </w:tcPr>
          <w:p w14:paraId="7C71DD66">
            <w:pPr>
              <w:spacing w:line="240" w:lineRule="auto"/>
              <w:jc w:val="center"/>
              <w:rPr>
                <w:rFonts w:hint="default" w:ascii="Times New Roman" w:hAnsi="Times New Roman" w:cs="Times New Roman"/>
                <w:color w:val="auto"/>
                <w:sz w:val="18"/>
                <w:szCs w:val="18"/>
              </w:rPr>
            </w:pPr>
          </w:p>
        </w:tc>
      </w:tr>
      <w:tr w14:paraId="240B4D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11" w:type="dxa"/>
            <w:tcBorders>
              <w:top w:val="single" w:color="auto" w:sz="4" w:space="0"/>
              <w:left w:val="single" w:color="auto" w:sz="4" w:space="0"/>
              <w:bottom w:val="single" w:color="auto" w:sz="4" w:space="0"/>
              <w:right w:val="single" w:color="auto" w:sz="4" w:space="0"/>
            </w:tcBorders>
            <w:tcMar>
              <w:top w:w="28" w:type="dxa"/>
              <w:left w:w="28" w:type="dxa"/>
              <w:bottom w:w="28" w:type="dxa"/>
              <w:right w:w="28" w:type="dxa"/>
            </w:tcMar>
            <w:vAlign w:val="center"/>
          </w:tcPr>
          <w:p w14:paraId="4FDB9524">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厂房面积</w:t>
            </w:r>
          </w:p>
        </w:tc>
        <w:tc>
          <w:tcPr>
            <w:tcW w:w="6285" w:type="dxa"/>
            <w:tcBorders>
              <w:top w:val="single" w:color="auto" w:sz="4" w:space="0"/>
              <w:left w:val="single" w:color="auto" w:sz="4" w:space="0"/>
              <w:bottom w:val="single" w:color="auto" w:sz="4" w:space="0"/>
              <w:right w:val="single" w:color="auto" w:sz="4" w:space="0"/>
            </w:tcBorders>
            <w:tcMar>
              <w:top w:w="28" w:type="dxa"/>
              <w:left w:w="28" w:type="dxa"/>
              <w:bottom w:w="28" w:type="dxa"/>
              <w:right w:w="28" w:type="dxa"/>
            </w:tcMar>
            <w:vAlign w:val="center"/>
          </w:tcPr>
          <w:p w14:paraId="35F57160">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u w:val="single"/>
              </w:rPr>
              <w:t xml:space="preserve">           </w:t>
            </w:r>
            <w:r>
              <w:rPr>
                <w:rFonts w:hint="default" w:ascii="Times New Roman" w:hAnsi="Times New Roman" w:cs="Times New Roman"/>
                <w:color w:val="auto"/>
                <w:sz w:val="18"/>
                <w:szCs w:val="18"/>
              </w:rPr>
              <w:t>m</w:t>
            </w:r>
            <w:r>
              <w:rPr>
                <w:rFonts w:hint="default" w:ascii="Times New Roman" w:hAnsi="Times New Roman" w:cs="Times New Roman"/>
                <w:color w:val="auto"/>
                <w:sz w:val="18"/>
                <w:szCs w:val="18"/>
                <w:vertAlign w:val="superscript"/>
              </w:rPr>
              <w:t>2</w:t>
            </w:r>
          </w:p>
        </w:tc>
      </w:tr>
      <w:tr w14:paraId="6A832F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11" w:type="dxa"/>
            <w:tcBorders>
              <w:top w:val="single" w:color="auto" w:sz="4" w:space="0"/>
              <w:left w:val="single" w:color="auto" w:sz="4" w:space="0"/>
              <w:bottom w:val="single" w:color="auto" w:sz="4" w:space="0"/>
              <w:right w:val="single" w:color="auto" w:sz="4" w:space="0"/>
            </w:tcBorders>
            <w:tcMar>
              <w:top w:w="28" w:type="dxa"/>
              <w:left w:w="28" w:type="dxa"/>
              <w:bottom w:w="28" w:type="dxa"/>
              <w:right w:w="28" w:type="dxa"/>
            </w:tcMar>
            <w:vAlign w:val="center"/>
          </w:tcPr>
          <w:p w14:paraId="60B8BBE9">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厂房建设年份</w:t>
            </w:r>
          </w:p>
        </w:tc>
        <w:tc>
          <w:tcPr>
            <w:tcW w:w="6285" w:type="dxa"/>
            <w:tcBorders>
              <w:top w:val="single" w:color="auto" w:sz="4" w:space="0"/>
              <w:left w:val="single" w:color="auto" w:sz="4" w:space="0"/>
              <w:bottom w:val="single" w:color="auto" w:sz="4" w:space="0"/>
              <w:right w:val="single" w:color="auto" w:sz="4" w:space="0"/>
            </w:tcBorders>
            <w:tcMar>
              <w:top w:w="28" w:type="dxa"/>
              <w:left w:w="28" w:type="dxa"/>
              <w:bottom w:w="28" w:type="dxa"/>
              <w:right w:w="28" w:type="dxa"/>
            </w:tcMar>
            <w:vAlign w:val="center"/>
          </w:tcPr>
          <w:p w14:paraId="2A0DB270">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u w:val="single"/>
              </w:rPr>
              <w:t xml:space="preserve">        </w:t>
            </w:r>
            <w:r>
              <w:rPr>
                <w:rFonts w:hint="default" w:ascii="Times New Roman" w:hAnsi="Times New Roman" w:cs="Times New Roman"/>
                <w:color w:val="auto"/>
                <w:sz w:val="18"/>
                <w:szCs w:val="18"/>
              </w:rPr>
              <w:t>年</w:t>
            </w:r>
          </w:p>
        </w:tc>
      </w:tr>
      <w:tr w14:paraId="76DDC1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11" w:type="dxa"/>
            <w:tcBorders>
              <w:top w:val="single" w:color="auto" w:sz="4" w:space="0"/>
              <w:left w:val="single" w:color="auto" w:sz="4" w:space="0"/>
              <w:bottom w:val="single" w:color="auto" w:sz="4" w:space="0"/>
              <w:right w:val="single" w:color="auto" w:sz="4" w:space="0"/>
            </w:tcBorders>
            <w:tcMar>
              <w:top w:w="28" w:type="dxa"/>
              <w:left w:w="28" w:type="dxa"/>
              <w:bottom w:w="28" w:type="dxa"/>
              <w:right w:w="28" w:type="dxa"/>
            </w:tcMar>
            <w:vAlign w:val="center"/>
          </w:tcPr>
          <w:p w14:paraId="086D0472">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产品类型及</w:t>
            </w:r>
            <w:r>
              <w:rPr>
                <w:rFonts w:hint="eastAsia" w:cs="Times New Roman"/>
                <w:color w:val="auto"/>
                <w:sz w:val="18"/>
                <w:szCs w:val="18"/>
                <w:lang w:eastAsia="zh-CN"/>
              </w:rPr>
              <w:t>批次</w:t>
            </w:r>
            <w:r>
              <w:rPr>
                <w:rFonts w:hint="default" w:ascii="Times New Roman" w:hAnsi="Times New Roman" w:cs="Times New Roman"/>
                <w:color w:val="auto"/>
                <w:sz w:val="18"/>
                <w:szCs w:val="18"/>
              </w:rPr>
              <w:t>产量</w:t>
            </w:r>
          </w:p>
        </w:tc>
        <w:tc>
          <w:tcPr>
            <w:tcW w:w="6285" w:type="dxa"/>
            <w:tcBorders>
              <w:top w:val="single" w:color="auto" w:sz="4" w:space="0"/>
              <w:left w:val="single" w:color="auto" w:sz="4" w:space="0"/>
              <w:bottom w:val="single" w:color="auto" w:sz="4" w:space="0"/>
              <w:right w:val="single" w:color="auto" w:sz="4" w:space="0"/>
            </w:tcBorders>
            <w:tcMar>
              <w:top w:w="28" w:type="dxa"/>
              <w:left w:w="28" w:type="dxa"/>
              <w:bottom w:w="28" w:type="dxa"/>
              <w:right w:w="28" w:type="dxa"/>
            </w:tcMar>
            <w:vAlign w:val="center"/>
          </w:tcPr>
          <w:p w14:paraId="59504116">
            <w:pPr>
              <w:spacing w:line="240" w:lineRule="auto"/>
              <w:rPr>
                <w:rFonts w:hint="default" w:ascii="Times New Roman" w:hAnsi="Times New Roman" w:cs="Times New Roman"/>
                <w:color w:val="auto"/>
                <w:sz w:val="18"/>
                <w:szCs w:val="18"/>
              </w:rPr>
            </w:pPr>
          </w:p>
        </w:tc>
      </w:tr>
      <w:tr w14:paraId="3507BD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5" w:hRule="atLeast"/>
        </w:trPr>
        <w:tc>
          <w:tcPr>
            <w:tcW w:w="2011" w:type="dxa"/>
            <w:tcBorders>
              <w:top w:val="nil"/>
              <w:left w:val="single" w:color="auto" w:sz="4" w:space="0"/>
              <w:bottom w:val="single" w:color="auto" w:sz="4" w:space="0"/>
              <w:right w:val="single" w:color="auto" w:sz="4" w:space="0"/>
            </w:tcBorders>
            <w:tcMar>
              <w:top w:w="28" w:type="dxa"/>
              <w:left w:w="28" w:type="dxa"/>
              <w:bottom w:w="28" w:type="dxa"/>
              <w:right w:w="28" w:type="dxa"/>
            </w:tcMar>
            <w:vAlign w:val="center"/>
          </w:tcPr>
          <w:p w14:paraId="344BD9C5">
            <w:pPr>
              <w:spacing w:line="240" w:lineRule="auto"/>
              <w:jc w:val="center"/>
              <w:rPr>
                <w:rFonts w:hint="default" w:ascii="Times New Roman" w:hAnsi="Times New Roman" w:cs="Times New Roman"/>
                <w:color w:val="auto"/>
                <w:sz w:val="18"/>
                <w:szCs w:val="18"/>
              </w:rPr>
            </w:pPr>
            <w:r>
              <w:rPr>
                <w:rFonts w:hint="eastAsia" w:cs="Times New Roman"/>
                <w:color w:val="auto"/>
                <w:sz w:val="18"/>
                <w:szCs w:val="18"/>
                <w:lang w:eastAsia="zh-CN"/>
              </w:rPr>
              <w:t>批次</w:t>
            </w:r>
            <w:r>
              <w:rPr>
                <w:rFonts w:hint="default" w:ascii="Times New Roman" w:hAnsi="Times New Roman" w:cs="Times New Roman"/>
                <w:color w:val="auto"/>
                <w:sz w:val="18"/>
                <w:szCs w:val="18"/>
              </w:rPr>
              <w:t>原材料使用量</w:t>
            </w:r>
          </w:p>
        </w:tc>
        <w:tc>
          <w:tcPr>
            <w:tcW w:w="6285" w:type="dxa"/>
            <w:tcBorders>
              <w:top w:val="single" w:color="auto" w:sz="4" w:space="0"/>
              <w:left w:val="single" w:color="auto" w:sz="4" w:space="0"/>
              <w:right w:val="single" w:color="auto" w:sz="4" w:space="0"/>
            </w:tcBorders>
            <w:tcMar>
              <w:top w:w="28" w:type="dxa"/>
              <w:left w:w="28" w:type="dxa"/>
              <w:bottom w:w="28" w:type="dxa"/>
              <w:right w:w="28" w:type="dxa"/>
            </w:tcMar>
            <w:vAlign w:val="center"/>
          </w:tcPr>
          <w:p w14:paraId="5CEE177B">
            <w:pPr>
              <w:spacing w:line="240" w:lineRule="auto"/>
              <w:jc w:val="center"/>
              <w:rPr>
                <w:rFonts w:hint="default" w:ascii="Times New Roman" w:hAnsi="Times New Roman" w:cs="Times New Roman"/>
                <w:color w:val="auto"/>
                <w:sz w:val="18"/>
                <w:szCs w:val="18"/>
              </w:rPr>
            </w:pPr>
          </w:p>
        </w:tc>
      </w:tr>
      <w:tr w14:paraId="585E33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11" w:type="dxa"/>
            <w:tcBorders>
              <w:top w:val="single" w:color="auto" w:sz="4" w:space="0"/>
              <w:left w:val="single" w:color="auto" w:sz="4" w:space="0"/>
              <w:bottom w:val="single" w:color="auto" w:sz="4" w:space="0"/>
              <w:right w:val="single" w:color="auto" w:sz="4" w:space="0"/>
            </w:tcBorders>
            <w:tcMar>
              <w:top w:w="28" w:type="dxa"/>
              <w:left w:w="28" w:type="dxa"/>
              <w:bottom w:w="28" w:type="dxa"/>
              <w:right w:w="28" w:type="dxa"/>
            </w:tcMar>
            <w:vAlign w:val="center"/>
          </w:tcPr>
          <w:p w14:paraId="04F8D0BD">
            <w:pPr>
              <w:spacing w:line="240" w:lineRule="auto"/>
              <w:jc w:val="center"/>
              <w:rPr>
                <w:rFonts w:hint="default" w:ascii="Times New Roman" w:hAnsi="Times New Roman" w:cs="Times New Roman"/>
                <w:color w:val="auto"/>
                <w:sz w:val="18"/>
                <w:szCs w:val="18"/>
              </w:rPr>
            </w:pPr>
            <w:r>
              <w:rPr>
                <w:rFonts w:hint="eastAsia" w:cs="Times New Roman"/>
                <w:color w:val="auto"/>
                <w:sz w:val="18"/>
                <w:szCs w:val="18"/>
                <w:lang w:eastAsia="zh-CN"/>
              </w:rPr>
              <w:t>批次</w:t>
            </w:r>
            <w:r>
              <w:rPr>
                <w:rFonts w:hint="default" w:ascii="Times New Roman" w:hAnsi="Times New Roman" w:cs="Times New Roman"/>
                <w:color w:val="auto"/>
                <w:sz w:val="18"/>
                <w:szCs w:val="18"/>
              </w:rPr>
              <w:t>能源使用量</w:t>
            </w:r>
          </w:p>
        </w:tc>
        <w:tc>
          <w:tcPr>
            <w:tcW w:w="6285" w:type="dxa"/>
            <w:tcBorders>
              <w:top w:val="single" w:color="auto" w:sz="4" w:space="0"/>
              <w:left w:val="single" w:color="auto" w:sz="4" w:space="0"/>
              <w:bottom w:val="single" w:color="auto" w:sz="4" w:space="0"/>
              <w:right w:val="single" w:color="auto" w:sz="4" w:space="0"/>
            </w:tcBorders>
            <w:tcMar>
              <w:top w:w="28" w:type="dxa"/>
              <w:left w:w="28" w:type="dxa"/>
              <w:bottom w:w="28" w:type="dxa"/>
              <w:right w:w="28" w:type="dxa"/>
            </w:tcMar>
            <w:vAlign w:val="center"/>
          </w:tcPr>
          <w:p w14:paraId="586C935D">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电力</w:t>
            </w:r>
            <w:r>
              <w:rPr>
                <w:rFonts w:hint="default" w:ascii="Times New Roman" w:hAnsi="Times New Roman" w:cs="Times New Roman"/>
                <w:color w:val="auto"/>
                <w:sz w:val="18"/>
                <w:szCs w:val="18"/>
                <w:u w:val="single"/>
              </w:rPr>
              <w:t xml:space="preserve">       </w:t>
            </w:r>
            <w:r>
              <w:rPr>
                <w:rFonts w:hint="default" w:ascii="Times New Roman" w:hAnsi="Times New Roman" w:cs="Times New Roman"/>
                <w:color w:val="auto"/>
                <w:sz w:val="18"/>
                <w:szCs w:val="18"/>
              </w:rPr>
              <w:t>、热力</w:t>
            </w:r>
            <w:r>
              <w:rPr>
                <w:rFonts w:hint="default" w:ascii="Times New Roman" w:hAnsi="Times New Roman" w:cs="Times New Roman"/>
                <w:color w:val="auto"/>
                <w:sz w:val="18"/>
                <w:szCs w:val="18"/>
                <w:u w:val="single"/>
              </w:rPr>
              <w:t xml:space="preserve">     、</w:t>
            </w:r>
            <w:r>
              <w:rPr>
                <w:rFonts w:hint="default" w:ascii="Times New Roman" w:hAnsi="Times New Roman" w:cs="Times New Roman"/>
                <w:color w:val="auto"/>
                <w:sz w:val="18"/>
                <w:szCs w:val="18"/>
              </w:rPr>
              <w:t>乙炔</w:t>
            </w:r>
            <w:r>
              <w:rPr>
                <w:rFonts w:hint="default" w:ascii="Times New Roman" w:hAnsi="Times New Roman" w:cs="Times New Roman"/>
                <w:color w:val="auto"/>
                <w:sz w:val="18"/>
                <w:szCs w:val="18"/>
                <w:u w:val="single"/>
              </w:rPr>
              <w:t xml:space="preserve">      </w:t>
            </w:r>
            <w:r>
              <w:rPr>
                <w:rFonts w:hint="default" w:ascii="Times New Roman" w:hAnsi="Times New Roman" w:cs="Times New Roman"/>
                <w:color w:val="auto"/>
                <w:sz w:val="18"/>
                <w:szCs w:val="18"/>
              </w:rPr>
              <w:t>、汽油</w:t>
            </w:r>
            <w:r>
              <w:rPr>
                <w:rFonts w:hint="default" w:ascii="Times New Roman" w:hAnsi="Times New Roman" w:cs="Times New Roman"/>
                <w:color w:val="auto"/>
                <w:sz w:val="18"/>
                <w:szCs w:val="18"/>
                <w:u w:val="single"/>
              </w:rPr>
              <w:t xml:space="preserve">       </w:t>
            </w:r>
            <w:r>
              <w:rPr>
                <w:rFonts w:hint="default" w:ascii="Times New Roman" w:hAnsi="Times New Roman" w:cs="Times New Roman"/>
                <w:color w:val="auto"/>
                <w:sz w:val="18"/>
                <w:szCs w:val="18"/>
              </w:rPr>
              <w:t>、柴油</w:t>
            </w:r>
            <w:r>
              <w:rPr>
                <w:rFonts w:hint="default" w:ascii="Times New Roman" w:hAnsi="Times New Roman" w:cs="Times New Roman"/>
                <w:color w:val="auto"/>
                <w:sz w:val="18"/>
                <w:szCs w:val="18"/>
                <w:u w:val="single"/>
              </w:rPr>
              <w:t xml:space="preserve">      </w:t>
            </w:r>
            <w:r>
              <w:rPr>
                <w:rFonts w:hint="default" w:ascii="Times New Roman" w:hAnsi="Times New Roman" w:cs="Times New Roman"/>
                <w:color w:val="auto"/>
                <w:sz w:val="18"/>
                <w:szCs w:val="18"/>
              </w:rPr>
              <w:t>（如有</w:t>
            </w:r>
            <w:r>
              <w:rPr>
                <w:rFonts w:hint="default" w:ascii="Times New Roman" w:hAnsi="Times New Roman" w:cs="Times New Roman"/>
                <w:color w:val="auto"/>
                <w:sz w:val="18"/>
                <w:szCs w:val="18"/>
                <w:lang w:eastAsia="zh-CN"/>
              </w:rPr>
              <w:t>其他</w:t>
            </w:r>
            <w:r>
              <w:rPr>
                <w:rFonts w:hint="default" w:ascii="Times New Roman" w:hAnsi="Times New Roman" w:cs="Times New Roman"/>
                <w:color w:val="auto"/>
                <w:sz w:val="18"/>
                <w:szCs w:val="18"/>
              </w:rPr>
              <w:t>，请补充）</w:t>
            </w:r>
          </w:p>
        </w:tc>
      </w:tr>
      <w:tr w14:paraId="53CBC2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11" w:type="dxa"/>
            <w:tcBorders>
              <w:top w:val="single" w:color="auto" w:sz="4" w:space="0"/>
              <w:left w:val="single" w:color="auto" w:sz="4" w:space="0"/>
              <w:bottom w:val="single" w:color="auto" w:sz="4" w:space="0"/>
              <w:right w:val="single" w:color="auto" w:sz="4" w:space="0"/>
            </w:tcBorders>
            <w:tcMar>
              <w:top w:w="28" w:type="dxa"/>
              <w:left w:w="28" w:type="dxa"/>
              <w:bottom w:w="28" w:type="dxa"/>
              <w:right w:w="28" w:type="dxa"/>
            </w:tcMar>
            <w:vAlign w:val="center"/>
          </w:tcPr>
          <w:p w14:paraId="4E68EAC8">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车间加工工序类型</w:t>
            </w:r>
          </w:p>
        </w:tc>
        <w:tc>
          <w:tcPr>
            <w:tcW w:w="6285" w:type="dxa"/>
            <w:tcBorders>
              <w:top w:val="single" w:color="auto" w:sz="4" w:space="0"/>
              <w:left w:val="single" w:color="auto" w:sz="4" w:space="0"/>
              <w:bottom w:val="single" w:color="auto" w:sz="4" w:space="0"/>
              <w:right w:val="single" w:color="auto" w:sz="4" w:space="0"/>
            </w:tcBorders>
            <w:tcMar>
              <w:top w:w="28" w:type="dxa"/>
              <w:left w:w="28" w:type="dxa"/>
              <w:bottom w:w="28" w:type="dxa"/>
              <w:right w:w="28" w:type="dxa"/>
            </w:tcMar>
            <w:vAlign w:val="center"/>
          </w:tcPr>
          <w:p w14:paraId="3311FAB5">
            <w:pPr>
              <w:spacing w:line="240" w:lineRule="auto"/>
              <w:rPr>
                <w:rFonts w:hint="default" w:ascii="Times New Roman" w:hAnsi="Times New Roman" w:cs="Times New Roman"/>
                <w:color w:val="auto"/>
                <w:sz w:val="18"/>
                <w:szCs w:val="18"/>
              </w:rPr>
            </w:pPr>
          </w:p>
        </w:tc>
      </w:tr>
    </w:tbl>
    <w:p w14:paraId="4AF56769">
      <w:pPr>
        <w:rPr>
          <w:rFonts w:hint="default" w:ascii="Times New Roman" w:hAnsi="Times New Roman" w:eastAsia="黑体" w:cs="Times New Roman"/>
          <w:color w:val="auto"/>
          <w:szCs w:val="28"/>
        </w:rPr>
      </w:pPr>
      <w:r>
        <w:rPr>
          <w:rFonts w:hint="default" w:ascii="Times New Roman" w:hAnsi="Times New Roman" w:eastAsia="黑体" w:cs="Times New Roman"/>
          <w:color w:val="auto"/>
          <w:szCs w:val="28"/>
        </w:rPr>
        <w:t>二、</w:t>
      </w:r>
      <w:r>
        <w:rPr>
          <w:rFonts w:hint="default" w:ascii="Times New Roman" w:hAnsi="Times New Roman" w:eastAsia="黑体" w:cs="Times New Roman"/>
          <w:color w:val="auto"/>
          <w:szCs w:val="28"/>
          <w:lang w:eastAsia="zh-CN"/>
        </w:rPr>
        <w:t>构件</w:t>
      </w:r>
      <w:r>
        <w:rPr>
          <w:rFonts w:hint="eastAsia" w:eastAsia="黑体" w:cs="Times New Roman"/>
          <w:color w:val="auto"/>
          <w:szCs w:val="28"/>
          <w:lang w:eastAsia="zh-CN"/>
        </w:rPr>
        <w:t>源流</w:t>
      </w:r>
      <w:r>
        <w:rPr>
          <w:rFonts w:hint="default" w:ascii="Times New Roman" w:hAnsi="Times New Roman" w:eastAsia="黑体" w:cs="Times New Roman"/>
          <w:color w:val="auto"/>
          <w:szCs w:val="28"/>
        </w:rPr>
        <w:t>清单</w:t>
      </w:r>
    </w:p>
    <w:tbl>
      <w:tblPr>
        <w:tblStyle w:val="1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635"/>
        <w:gridCol w:w="849"/>
        <w:gridCol w:w="607"/>
        <w:gridCol w:w="652"/>
        <w:gridCol w:w="716"/>
        <w:gridCol w:w="1206"/>
      </w:tblGrid>
      <w:tr w14:paraId="0E8D7F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10" w:hRule="atLeast"/>
          <w:jc w:val="center"/>
        </w:trPr>
        <w:tc>
          <w:tcPr>
            <w:tcW w:w="635" w:type="dxa"/>
            <w:shd w:val="clear" w:color="auto" w:fill="auto"/>
            <w:tcMar>
              <w:top w:w="20" w:type="dxa"/>
              <w:left w:w="30" w:type="dxa"/>
              <w:bottom w:w="20" w:type="dxa"/>
              <w:right w:w="30" w:type="dxa"/>
            </w:tcMar>
            <w:vAlign w:val="center"/>
          </w:tcPr>
          <w:p w14:paraId="472EFDF0">
            <w:pPr>
              <w:widowControl/>
              <w:spacing w:line="240" w:lineRule="auto"/>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lang w:bidi="ar"/>
              </w:rPr>
              <w:t>序号</w:t>
            </w:r>
          </w:p>
        </w:tc>
        <w:tc>
          <w:tcPr>
            <w:tcW w:w="849" w:type="dxa"/>
            <w:shd w:val="clear" w:color="auto" w:fill="auto"/>
            <w:tcMar>
              <w:top w:w="20" w:type="dxa"/>
              <w:left w:w="30" w:type="dxa"/>
              <w:bottom w:w="20" w:type="dxa"/>
              <w:right w:w="30" w:type="dxa"/>
            </w:tcMar>
            <w:vAlign w:val="center"/>
          </w:tcPr>
          <w:p w14:paraId="7F83BD31">
            <w:pPr>
              <w:widowControl/>
              <w:spacing w:line="240" w:lineRule="auto"/>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lang w:bidi="ar"/>
              </w:rPr>
              <w:t>生产系统</w:t>
            </w:r>
          </w:p>
        </w:tc>
        <w:tc>
          <w:tcPr>
            <w:tcW w:w="607" w:type="dxa"/>
            <w:shd w:val="clear" w:color="auto" w:fill="auto"/>
            <w:tcMar>
              <w:top w:w="20" w:type="dxa"/>
              <w:left w:w="30" w:type="dxa"/>
              <w:bottom w:w="20" w:type="dxa"/>
              <w:right w:w="30" w:type="dxa"/>
            </w:tcMar>
            <w:vAlign w:val="center"/>
          </w:tcPr>
          <w:p w14:paraId="515DA116">
            <w:pPr>
              <w:widowControl/>
              <w:spacing w:line="240" w:lineRule="auto"/>
              <w:jc w:val="center"/>
              <w:rPr>
                <w:rFonts w:hint="default" w:ascii="Times New Roman" w:hAnsi="Times New Roman" w:cs="Times New Roman"/>
                <w:color w:val="auto"/>
                <w:kern w:val="0"/>
                <w:sz w:val="18"/>
                <w:szCs w:val="18"/>
                <w:lang w:bidi="ar"/>
              </w:rPr>
            </w:pPr>
            <w:r>
              <w:rPr>
                <w:rFonts w:hint="default" w:ascii="Times New Roman" w:hAnsi="Times New Roman" w:cs="Times New Roman"/>
                <w:color w:val="auto"/>
                <w:kern w:val="0"/>
                <w:sz w:val="18"/>
                <w:szCs w:val="18"/>
                <w:lang w:bidi="ar"/>
              </w:rPr>
              <w:t>工艺</w:t>
            </w:r>
          </w:p>
          <w:p w14:paraId="342576D3">
            <w:pPr>
              <w:widowControl/>
              <w:spacing w:line="240" w:lineRule="auto"/>
              <w:jc w:val="center"/>
              <w:rPr>
                <w:rFonts w:hint="eastAsia" w:ascii="Times New Roman" w:hAnsi="Times New Roman" w:eastAsia="宋体" w:cs="Times New Roman"/>
                <w:color w:val="auto"/>
                <w:kern w:val="0"/>
                <w:sz w:val="18"/>
                <w:szCs w:val="18"/>
                <w:lang w:val="en-US" w:eastAsia="zh-CN"/>
              </w:rPr>
            </w:pPr>
            <w:r>
              <w:rPr>
                <w:rFonts w:hint="eastAsia" w:cs="Times New Roman"/>
                <w:color w:val="auto"/>
                <w:kern w:val="0"/>
                <w:sz w:val="18"/>
                <w:szCs w:val="18"/>
                <w:lang w:val="en-US" w:eastAsia="zh-CN" w:bidi="ar"/>
              </w:rPr>
              <w:t>过程</w:t>
            </w:r>
          </w:p>
        </w:tc>
        <w:tc>
          <w:tcPr>
            <w:tcW w:w="652" w:type="dxa"/>
            <w:shd w:val="clear" w:color="auto" w:fill="auto"/>
            <w:tcMar>
              <w:top w:w="20" w:type="dxa"/>
              <w:left w:w="30" w:type="dxa"/>
              <w:bottom w:w="20" w:type="dxa"/>
              <w:right w:w="30" w:type="dxa"/>
            </w:tcMar>
            <w:vAlign w:val="center"/>
          </w:tcPr>
          <w:p w14:paraId="02E88D80">
            <w:pPr>
              <w:widowControl/>
              <w:spacing w:line="240" w:lineRule="auto"/>
              <w:jc w:val="center"/>
              <w:rPr>
                <w:rFonts w:hint="eastAsia" w:ascii="Times New Roman" w:hAnsi="Times New Roman" w:eastAsia="宋体" w:cs="Times New Roman"/>
                <w:color w:val="auto"/>
                <w:kern w:val="0"/>
                <w:sz w:val="18"/>
                <w:szCs w:val="18"/>
                <w:lang w:val="en-US" w:eastAsia="zh-CN"/>
              </w:rPr>
            </w:pPr>
            <w:r>
              <w:rPr>
                <w:rFonts w:hint="eastAsia" w:cs="Times New Roman"/>
                <w:color w:val="auto"/>
                <w:kern w:val="0"/>
                <w:sz w:val="18"/>
                <w:szCs w:val="18"/>
                <w:lang w:val="en-US" w:eastAsia="zh-CN" w:bidi="ar"/>
              </w:rPr>
              <w:t>源流</w:t>
            </w:r>
          </w:p>
        </w:tc>
        <w:tc>
          <w:tcPr>
            <w:tcW w:w="716" w:type="dxa"/>
            <w:shd w:val="clear" w:color="auto" w:fill="auto"/>
            <w:tcMar>
              <w:top w:w="20" w:type="dxa"/>
              <w:left w:w="30" w:type="dxa"/>
              <w:bottom w:w="20" w:type="dxa"/>
              <w:right w:w="30" w:type="dxa"/>
            </w:tcMar>
            <w:vAlign w:val="center"/>
          </w:tcPr>
          <w:p w14:paraId="23735D90">
            <w:pPr>
              <w:widowControl/>
              <w:spacing w:line="240" w:lineRule="auto"/>
              <w:jc w:val="center"/>
              <w:rPr>
                <w:rFonts w:hint="default" w:ascii="Times New Roman" w:hAnsi="Times New Roman" w:eastAsia="宋体" w:cs="Times New Roman"/>
                <w:color w:val="auto"/>
                <w:kern w:val="0"/>
                <w:sz w:val="18"/>
                <w:szCs w:val="18"/>
                <w:lang w:val="en-US" w:eastAsia="zh-CN"/>
              </w:rPr>
            </w:pPr>
            <w:r>
              <w:rPr>
                <w:rFonts w:hint="eastAsia" w:cs="Times New Roman"/>
                <w:color w:val="auto"/>
                <w:kern w:val="0"/>
                <w:sz w:val="18"/>
                <w:szCs w:val="18"/>
                <w:lang w:val="en-US" w:eastAsia="zh-CN" w:bidi="ar"/>
              </w:rPr>
              <w:t>排放源</w:t>
            </w:r>
          </w:p>
        </w:tc>
        <w:tc>
          <w:tcPr>
            <w:tcW w:w="1206" w:type="dxa"/>
            <w:shd w:val="clear" w:color="auto" w:fill="auto"/>
            <w:tcMar>
              <w:top w:w="20" w:type="dxa"/>
              <w:bottom w:w="20" w:type="dxa"/>
            </w:tcMar>
            <w:vAlign w:val="center"/>
          </w:tcPr>
          <w:p w14:paraId="265F21D1">
            <w:pPr>
              <w:widowControl/>
              <w:spacing w:line="240" w:lineRule="auto"/>
              <w:jc w:val="center"/>
              <w:rPr>
                <w:rFonts w:hint="default" w:ascii="Times New Roman" w:hAnsi="Times New Roman" w:cs="Times New Roman"/>
                <w:color w:val="auto"/>
                <w:kern w:val="0"/>
                <w:sz w:val="18"/>
                <w:szCs w:val="18"/>
              </w:rPr>
            </w:pPr>
            <w:r>
              <w:rPr>
                <w:rFonts w:hint="default" w:ascii="Times New Roman" w:hAnsi="Times New Roman" w:cs="Times New Roman"/>
                <w:color w:val="auto"/>
                <w:kern w:val="0"/>
                <w:sz w:val="18"/>
                <w:szCs w:val="18"/>
                <w:lang w:bidi="ar"/>
              </w:rPr>
              <w:t>主要的固定及移动设备</w:t>
            </w:r>
          </w:p>
        </w:tc>
      </w:tr>
      <w:tr w14:paraId="3CAEED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10" w:hRule="atLeast"/>
          <w:jc w:val="center"/>
        </w:trPr>
        <w:tc>
          <w:tcPr>
            <w:tcW w:w="635" w:type="dxa"/>
            <w:shd w:val="clear" w:color="auto" w:fill="auto"/>
            <w:tcMar>
              <w:top w:w="20" w:type="dxa"/>
              <w:left w:w="30" w:type="dxa"/>
              <w:bottom w:w="20" w:type="dxa"/>
              <w:right w:w="30" w:type="dxa"/>
            </w:tcMar>
            <w:vAlign w:val="center"/>
          </w:tcPr>
          <w:p w14:paraId="40803165">
            <w:pPr>
              <w:widowControl/>
              <w:spacing w:line="240" w:lineRule="auto"/>
              <w:jc w:val="center"/>
              <w:rPr>
                <w:rFonts w:hint="default" w:ascii="Times New Roman" w:hAnsi="Times New Roman" w:cs="Times New Roman"/>
                <w:color w:val="auto"/>
                <w:kern w:val="0"/>
                <w:sz w:val="18"/>
                <w:szCs w:val="18"/>
              </w:rPr>
            </w:pPr>
          </w:p>
        </w:tc>
        <w:tc>
          <w:tcPr>
            <w:tcW w:w="849" w:type="dxa"/>
            <w:shd w:val="clear" w:color="auto" w:fill="auto"/>
            <w:tcMar>
              <w:top w:w="20" w:type="dxa"/>
              <w:left w:w="30" w:type="dxa"/>
              <w:bottom w:w="20" w:type="dxa"/>
              <w:right w:w="30" w:type="dxa"/>
            </w:tcMar>
            <w:vAlign w:val="center"/>
          </w:tcPr>
          <w:p w14:paraId="1527E1B7">
            <w:pPr>
              <w:widowControl/>
              <w:spacing w:line="240" w:lineRule="auto"/>
              <w:jc w:val="center"/>
              <w:rPr>
                <w:rFonts w:hint="default" w:ascii="Times New Roman" w:hAnsi="Times New Roman" w:cs="Times New Roman"/>
                <w:color w:val="auto"/>
                <w:kern w:val="0"/>
                <w:sz w:val="18"/>
                <w:szCs w:val="18"/>
              </w:rPr>
            </w:pPr>
          </w:p>
        </w:tc>
        <w:tc>
          <w:tcPr>
            <w:tcW w:w="607" w:type="dxa"/>
            <w:shd w:val="clear" w:color="auto" w:fill="auto"/>
            <w:tcMar>
              <w:top w:w="20" w:type="dxa"/>
              <w:left w:w="30" w:type="dxa"/>
              <w:bottom w:w="20" w:type="dxa"/>
              <w:right w:w="30" w:type="dxa"/>
            </w:tcMar>
            <w:vAlign w:val="center"/>
          </w:tcPr>
          <w:p w14:paraId="631B6840">
            <w:pPr>
              <w:widowControl/>
              <w:spacing w:line="240" w:lineRule="auto"/>
              <w:jc w:val="center"/>
              <w:rPr>
                <w:rFonts w:hint="default" w:ascii="Times New Roman" w:hAnsi="Times New Roman" w:cs="Times New Roman"/>
                <w:color w:val="auto"/>
                <w:kern w:val="0"/>
                <w:sz w:val="18"/>
                <w:szCs w:val="18"/>
              </w:rPr>
            </w:pPr>
          </w:p>
        </w:tc>
        <w:tc>
          <w:tcPr>
            <w:tcW w:w="652" w:type="dxa"/>
            <w:shd w:val="clear" w:color="auto" w:fill="auto"/>
            <w:tcMar>
              <w:top w:w="20" w:type="dxa"/>
              <w:left w:w="30" w:type="dxa"/>
              <w:bottom w:w="20" w:type="dxa"/>
              <w:right w:w="30" w:type="dxa"/>
            </w:tcMar>
            <w:vAlign w:val="center"/>
          </w:tcPr>
          <w:p w14:paraId="02D8DE56">
            <w:pPr>
              <w:widowControl/>
              <w:spacing w:line="240" w:lineRule="auto"/>
              <w:jc w:val="center"/>
              <w:rPr>
                <w:rFonts w:hint="default" w:ascii="Times New Roman" w:hAnsi="Times New Roman" w:cs="Times New Roman"/>
                <w:color w:val="auto"/>
                <w:kern w:val="0"/>
                <w:sz w:val="18"/>
                <w:szCs w:val="18"/>
              </w:rPr>
            </w:pPr>
          </w:p>
        </w:tc>
        <w:tc>
          <w:tcPr>
            <w:tcW w:w="716" w:type="dxa"/>
            <w:shd w:val="clear" w:color="auto" w:fill="auto"/>
            <w:tcMar>
              <w:top w:w="20" w:type="dxa"/>
              <w:left w:w="30" w:type="dxa"/>
              <w:bottom w:w="20" w:type="dxa"/>
              <w:right w:w="30" w:type="dxa"/>
            </w:tcMar>
            <w:vAlign w:val="center"/>
          </w:tcPr>
          <w:p w14:paraId="4561BCE6">
            <w:pPr>
              <w:widowControl/>
              <w:spacing w:line="240" w:lineRule="auto"/>
              <w:jc w:val="center"/>
              <w:rPr>
                <w:rFonts w:hint="default" w:ascii="Times New Roman" w:hAnsi="Times New Roman" w:cs="Times New Roman"/>
                <w:color w:val="auto"/>
                <w:kern w:val="0"/>
                <w:sz w:val="18"/>
                <w:szCs w:val="18"/>
              </w:rPr>
            </w:pPr>
          </w:p>
        </w:tc>
        <w:tc>
          <w:tcPr>
            <w:tcW w:w="1206" w:type="dxa"/>
            <w:shd w:val="clear" w:color="auto" w:fill="auto"/>
            <w:tcMar>
              <w:top w:w="20" w:type="dxa"/>
              <w:bottom w:w="20" w:type="dxa"/>
            </w:tcMar>
            <w:vAlign w:val="center"/>
          </w:tcPr>
          <w:p w14:paraId="56AD6107">
            <w:pPr>
              <w:widowControl/>
              <w:spacing w:line="240" w:lineRule="auto"/>
              <w:jc w:val="center"/>
              <w:rPr>
                <w:rFonts w:hint="default" w:ascii="Times New Roman" w:hAnsi="Times New Roman" w:cs="Times New Roman"/>
                <w:color w:val="auto"/>
                <w:kern w:val="0"/>
                <w:sz w:val="18"/>
                <w:szCs w:val="18"/>
              </w:rPr>
            </w:pPr>
          </w:p>
        </w:tc>
      </w:tr>
      <w:tr w14:paraId="2F7311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10" w:hRule="atLeast"/>
          <w:jc w:val="center"/>
        </w:trPr>
        <w:tc>
          <w:tcPr>
            <w:tcW w:w="635" w:type="dxa"/>
            <w:shd w:val="clear" w:color="auto" w:fill="auto"/>
            <w:tcMar>
              <w:top w:w="20" w:type="dxa"/>
              <w:left w:w="30" w:type="dxa"/>
              <w:bottom w:w="20" w:type="dxa"/>
              <w:right w:w="30" w:type="dxa"/>
            </w:tcMar>
            <w:vAlign w:val="center"/>
          </w:tcPr>
          <w:p w14:paraId="13838174">
            <w:pPr>
              <w:widowControl/>
              <w:spacing w:line="240" w:lineRule="auto"/>
              <w:jc w:val="center"/>
              <w:rPr>
                <w:rFonts w:hint="default" w:ascii="Times New Roman" w:hAnsi="Times New Roman" w:cs="Times New Roman"/>
                <w:color w:val="auto"/>
                <w:kern w:val="0"/>
                <w:sz w:val="18"/>
                <w:szCs w:val="18"/>
              </w:rPr>
            </w:pPr>
          </w:p>
        </w:tc>
        <w:tc>
          <w:tcPr>
            <w:tcW w:w="849" w:type="dxa"/>
            <w:shd w:val="clear" w:color="auto" w:fill="auto"/>
            <w:tcMar>
              <w:top w:w="20" w:type="dxa"/>
              <w:left w:w="30" w:type="dxa"/>
              <w:bottom w:w="20" w:type="dxa"/>
              <w:right w:w="30" w:type="dxa"/>
            </w:tcMar>
            <w:vAlign w:val="center"/>
          </w:tcPr>
          <w:p w14:paraId="5BAA0E8A">
            <w:pPr>
              <w:widowControl/>
              <w:spacing w:line="240" w:lineRule="auto"/>
              <w:jc w:val="center"/>
              <w:rPr>
                <w:rFonts w:hint="default" w:ascii="Times New Roman" w:hAnsi="Times New Roman" w:cs="Times New Roman"/>
                <w:color w:val="auto"/>
                <w:kern w:val="0"/>
                <w:sz w:val="18"/>
                <w:szCs w:val="18"/>
              </w:rPr>
            </w:pPr>
          </w:p>
        </w:tc>
        <w:tc>
          <w:tcPr>
            <w:tcW w:w="607" w:type="dxa"/>
            <w:shd w:val="clear" w:color="auto" w:fill="auto"/>
            <w:tcMar>
              <w:top w:w="20" w:type="dxa"/>
              <w:left w:w="30" w:type="dxa"/>
              <w:bottom w:w="20" w:type="dxa"/>
              <w:right w:w="30" w:type="dxa"/>
            </w:tcMar>
            <w:vAlign w:val="center"/>
          </w:tcPr>
          <w:p w14:paraId="3AAD25CA">
            <w:pPr>
              <w:widowControl/>
              <w:spacing w:line="240" w:lineRule="auto"/>
              <w:jc w:val="center"/>
              <w:rPr>
                <w:rFonts w:hint="default" w:ascii="Times New Roman" w:hAnsi="Times New Roman" w:cs="Times New Roman"/>
                <w:color w:val="auto"/>
                <w:kern w:val="0"/>
                <w:sz w:val="18"/>
                <w:szCs w:val="18"/>
              </w:rPr>
            </w:pPr>
          </w:p>
        </w:tc>
        <w:tc>
          <w:tcPr>
            <w:tcW w:w="652" w:type="dxa"/>
            <w:shd w:val="clear" w:color="auto" w:fill="auto"/>
            <w:tcMar>
              <w:top w:w="20" w:type="dxa"/>
              <w:left w:w="30" w:type="dxa"/>
              <w:bottom w:w="20" w:type="dxa"/>
              <w:right w:w="30" w:type="dxa"/>
            </w:tcMar>
            <w:vAlign w:val="center"/>
          </w:tcPr>
          <w:p w14:paraId="25321DD3">
            <w:pPr>
              <w:widowControl/>
              <w:spacing w:line="240" w:lineRule="auto"/>
              <w:jc w:val="center"/>
              <w:rPr>
                <w:rFonts w:hint="default" w:ascii="Times New Roman" w:hAnsi="Times New Roman" w:cs="Times New Roman"/>
                <w:color w:val="auto"/>
                <w:kern w:val="0"/>
                <w:sz w:val="18"/>
                <w:szCs w:val="18"/>
              </w:rPr>
            </w:pPr>
          </w:p>
        </w:tc>
        <w:tc>
          <w:tcPr>
            <w:tcW w:w="716" w:type="dxa"/>
            <w:shd w:val="clear" w:color="auto" w:fill="auto"/>
            <w:tcMar>
              <w:top w:w="20" w:type="dxa"/>
              <w:left w:w="30" w:type="dxa"/>
              <w:bottom w:w="20" w:type="dxa"/>
              <w:right w:w="30" w:type="dxa"/>
            </w:tcMar>
            <w:vAlign w:val="center"/>
          </w:tcPr>
          <w:p w14:paraId="72267349">
            <w:pPr>
              <w:widowControl/>
              <w:spacing w:line="240" w:lineRule="auto"/>
              <w:jc w:val="center"/>
              <w:rPr>
                <w:rFonts w:hint="default" w:ascii="Times New Roman" w:hAnsi="Times New Roman" w:cs="Times New Roman"/>
                <w:color w:val="auto"/>
                <w:kern w:val="0"/>
                <w:sz w:val="18"/>
                <w:szCs w:val="18"/>
              </w:rPr>
            </w:pPr>
          </w:p>
        </w:tc>
        <w:tc>
          <w:tcPr>
            <w:tcW w:w="1206" w:type="dxa"/>
            <w:shd w:val="clear" w:color="auto" w:fill="auto"/>
            <w:tcMar>
              <w:top w:w="20" w:type="dxa"/>
              <w:bottom w:w="20" w:type="dxa"/>
            </w:tcMar>
            <w:vAlign w:val="center"/>
          </w:tcPr>
          <w:p w14:paraId="61A25EA1">
            <w:pPr>
              <w:widowControl/>
              <w:spacing w:line="240" w:lineRule="auto"/>
              <w:jc w:val="center"/>
              <w:rPr>
                <w:rFonts w:hint="default" w:ascii="Times New Roman" w:hAnsi="Times New Roman" w:cs="Times New Roman"/>
                <w:color w:val="auto"/>
                <w:kern w:val="0"/>
                <w:sz w:val="18"/>
                <w:szCs w:val="18"/>
              </w:rPr>
            </w:pPr>
          </w:p>
        </w:tc>
      </w:tr>
      <w:tr w14:paraId="1A45EC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10" w:hRule="atLeast"/>
          <w:jc w:val="center"/>
        </w:trPr>
        <w:tc>
          <w:tcPr>
            <w:tcW w:w="635" w:type="dxa"/>
            <w:shd w:val="clear" w:color="auto" w:fill="auto"/>
            <w:tcMar>
              <w:top w:w="20" w:type="dxa"/>
              <w:left w:w="30" w:type="dxa"/>
              <w:bottom w:w="20" w:type="dxa"/>
              <w:right w:w="30" w:type="dxa"/>
            </w:tcMar>
            <w:vAlign w:val="center"/>
          </w:tcPr>
          <w:p w14:paraId="214A44F1">
            <w:pPr>
              <w:widowControl/>
              <w:spacing w:line="240" w:lineRule="auto"/>
              <w:jc w:val="center"/>
              <w:rPr>
                <w:rFonts w:hint="default" w:ascii="Times New Roman" w:hAnsi="Times New Roman" w:cs="Times New Roman"/>
                <w:color w:val="auto"/>
                <w:kern w:val="0"/>
                <w:sz w:val="18"/>
                <w:szCs w:val="18"/>
              </w:rPr>
            </w:pPr>
          </w:p>
        </w:tc>
        <w:tc>
          <w:tcPr>
            <w:tcW w:w="849" w:type="dxa"/>
            <w:shd w:val="clear" w:color="auto" w:fill="auto"/>
            <w:tcMar>
              <w:top w:w="20" w:type="dxa"/>
              <w:left w:w="30" w:type="dxa"/>
              <w:bottom w:w="20" w:type="dxa"/>
              <w:right w:w="30" w:type="dxa"/>
            </w:tcMar>
            <w:vAlign w:val="center"/>
          </w:tcPr>
          <w:p w14:paraId="329C780E">
            <w:pPr>
              <w:widowControl/>
              <w:spacing w:line="240" w:lineRule="auto"/>
              <w:jc w:val="center"/>
              <w:rPr>
                <w:rFonts w:hint="default" w:ascii="Times New Roman" w:hAnsi="Times New Roman" w:cs="Times New Roman"/>
                <w:color w:val="auto"/>
                <w:kern w:val="0"/>
                <w:sz w:val="18"/>
                <w:szCs w:val="18"/>
              </w:rPr>
            </w:pPr>
          </w:p>
        </w:tc>
        <w:tc>
          <w:tcPr>
            <w:tcW w:w="607" w:type="dxa"/>
            <w:shd w:val="clear" w:color="auto" w:fill="auto"/>
            <w:tcMar>
              <w:top w:w="20" w:type="dxa"/>
              <w:left w:w="30" w:type="dxa"/>
              <w:bottom w:w="20" w:type="dxa"/>
              <w:right w:w="30" w:type="dxa"/>
            </w:tcMar>
            <w:vAlign w:val="center"/>
          </w:tcPr>
          <w:p w14:paraId="0D37E5F8">
            <w:pPr>
              <w:widowControl/>
              <w:spacing w:line="240" w:lineRule="auto"/>
              <w:jc w:val="center"/>
              <w:rPr>
                <w:rFonts w:hint="default" w:ascii="Times New Roman" w:hAnsi="Times New Roman" w:cs="Times New Roman"/>
                <w:color w:val="auto"/>
                <w:kern w:val="0"/>
                <w:sz w:val="18"/>
                <w:szCs w:val="18"/>
              </w:rPr>
            </w:pPr>
          </w:p>
        </w:tc>
        <w:tc>
          <w:tcPr>
            <w:tcW w:w="652" w:type="dxa"/>
            <w:shd w:val="clear" w:color="auto" w:fill="auto"/>
            <w:tcMar>
              <w:top w:w="20" w:type="dxa"/>
              <w:left w:w="30" w:type="dxa"/>
              <w:bottom w:w="20" w:type="dxa"/>
              <w:right w:w="30" w:type="dxa"/>
            </w:tcMar>
            <w:vAlign w:val="center"/>
          </w:tcPr>
          <w:p w14:paraId="474453FD">
            <w:pPr>
              <w:widowControl/>
              <w:spacing w:line="240" w:lineRule="auto"/>
              <w:jc w:val="center"/>
              <w:rPr>
                <w:rFonts w:hint="default" w:ascii="Times New Roman" w:hAnsi="Times New Roman" w:cs="Times New Roman"/>
                <w:color w:val="auto"/>
                <w:kern w:val="0"/>
                <w:sz w:val="18"/>
                <w:szCs w:val="18"/>
              </w:rPr>
            </w:pPr>
          </w:p>
        </w:tc>
        <w:tc>
          <w:tcPr>
            <w:tcW w:w="716" w:type="dxa"/>
            <w:shd w:val="clear" w:color="auto" w:fill="auto"/>
            <w:tcMar>
              <w:top w:w="20" w:type="dxa"/>
              <w:left w:w="30" w:type="dxa"/>
              <w:bottom w:w="20" w:type="dxa"/>
              <w:right w:w="30" w:type="dxa"/>
            </w:tcMar>
            <w:vAlign w:val="center"/>
          </w:tcPr>
          <w:p w14:paraId="46351B34">
            <w:pPr>
              <w:widowControl/>
              <w:spacing w:line="240" w:lineRule="auto"/>
              <w:jc w:val="center"/>
              <w:rPr>
                <w:rFonts w:hint="default" w:ascii="Times New Roman" w:hAnsi="Times New Roman" w:cs="Times New Roman"/>
                <w:color w:val="auto"/>
                <w:kern w:val="0"/>
                <w:sz w:val="18"/>
                <w:szCs w:val="18"/>
              </w:rPr>
            </w:pPr>
          </w:p>
        </w:tc>
        <w:tc>
          <w:tcPr>
            <w:tcW w:w="1206" w:type="dxa"/>
            <w:shd w:val="clear" w:color="auto" w:fill="auto"/>
            <w:tcMar>
              <w:top w:w="20" w:type="dxa"/>
              <w:bottom w:w="20" w:type="dxa"/>
            </w:tcMar>
            <w:vAlign w:val="center"/>
          </w:tcPr>
          <w:p w14:paraId="214BBD63">
            <w:pPr>
              <w:widowControl/>
              <w:spacing w:line="240" w:lineRule="auto"/>
              <w:jc w:val="center"/>
              <w:rPr>
                <w:rFonts w:hint="default" w:ascii="Times New Roman" w:hAnsi="Times New Roman" w:cs="Times New Roman"/>
                <w:color w:val="auto"/>
                <w:kern w:val="0"/>
                <w:sz w:val="18"/>
                <w:szCs w:val="18"/>
              </w:rPr>
            </w:pPr>
          </w:p>
        </w:tc>
      </w:tr>
      <w:tr w14:paraId="2C1568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10" w:hRule="atLeast"/>
          <w:jc w:val="center"/>
        </w:trPr>
        <w:tc>
          <w:tcPr>
            <w:tcW w:w="635" w:type="dxa"/>
            <w:shd w:val="clear" w:color="auto" w:fill="auto"/>
            <w:tcMar>
              <w:top w:w="20" w:type="dxa"/>
              <w:left w:w="30" w:type="dxa"/>
              <w:bottom w:w="20" w:type="dxa"/>
              <w:right w:w="30" w:type="dxa"/>
            </w:tcMar>
            <w:vAlign w:val="center"/>
          </w:tcPr>
          <w:p w14:paraId="00D228DA">
            <w:pPr>
              <w:widowControl/>
              <w:spacing w:line="240" w:lineRule="auto"/>
              <w:jc w:val="center"/>
              <w:rPr>
                <w:rFonts w:hint="default" w:ascii="Times New Roman" w:hAnsi="Times New Roman" w:cs="Times New Roman"/>
                <w:color w:val="auto"/>
                <w:kern w:val="0"/>
                <w:sz w:val="18"/>
                <w:szCs w:val="18"/>
              </w:rPr>
            </w:pPr>
          </w:p>
        </w:tc>
        <w:tc>
          <w:tcPr>
            <w:tcW w:w="849" w:type="dxa"/>
            <w:shd w:val="clear" w:color="auto" w:fill="auto"/>
            <w:tcMar>
              <w:top w:w="20" w:type="dxa"/>
              <w:left w:w="30" w:type="dxa"/>
              <w:bottom w:w="20" w:type="dxa"/>
              <w:right w:w="30" w:type="dxa"/>
            </w:tcMar>
            <w:vAlign w:val="center"/>
          </w:tcPr>
          <w:p w14:paraId="39DE0C24">
            <w:pPr>
              <w:widowControl/>
              <w:spacing w:line="240" w:lineRule="auto"/>
              <w:jc w:val="center"/>
              <w:rPr>
                <w:rFonts w:hint="default" w:ascii="Times New Roman" w:hAnsi="Times New Roman" w:cs="Times New Roman"/>
                <w:color w:val="auto"/>
                <w:kern w:val="0"/>
                <w:sz w:val="18"/>
                <w:szCs w:val="18"/>
              </w:rPr>
            </w:pPr>
          </w:p>
        </w:tc>
        <w:tc>
          <w:tcPr>
            <w:tcW w:w="607" w:type="dxa"/>
            <w:shd w:val="clear" w:color="auto" w:fill="auto"/>
            <w:tcMar>
              <w:top w:w="20" w:type="dxa"/>
              <w:left w:w="30" w:type="dxa"/>
              <w:bottom w:w="20" w:type="dxa"/>
              <w:right w:w="30" w:type="dxa"/>
            </w:tcMar>
            <w:vAlign w:val="center"/>
          </w:tcPr>
          <w:p w14:paraId="3CDE2567">
            <w:pPr>
              <w:widowControl/>
              <w:spacing w:line="240" w:lineRule="auto"/>
              <w:jc w:val="center"/>
              <w:rPr>
                <w:rFonts w:hint="default" w:ascii="Times New Roman" w:hAnsi="Times New Roman" w:cs="Times New Roman"/>
                <w:color w:val="auto"/>
                <w:kern w:val="0"/>
                <w:sz w:val="18"/>
                <w:szCs w:val="18"/>
              </w:rPr>
            </w:pPr>
          </w:p>
        </w:tc>
        <w:tc>
          <w:tcPr>
            <w:tcW w:w="652" w:type="dxa"/>
            <w:shd w:val="clear" w:color="auto" w:fill="auto"/>
            <w:tcMar>
              <w:top w:w="20" w:type="dxa"/>
              <w:left w:w="30" w:type="dxa"/>
              <w:bottom w:w="20" w:type="dxa"/>
              <w:right w:w="30" w:type="dxa"/>
            </w:tcMar>
            <w:vAlign w:val="center"/>
          </w:tcPr>
          <w:p w14:paraId="253F911F">
            <w:pPr>
              <w:widowControl/>
              <w:spacing w:line="240" w:lineRule="auto"/>
              <w:jc w:val="center"/>
              <w:rPr>
                <w:rFonts w:hint="default" w:ascii="Times New Roman" w:hAnsi="Times New Roman" w:cs="Times New Roman"/>
                <w:color w:val="auto"/>
                <w:kern w:val="0"/>
                <w:sz w:val="18"/>
                <w:szCs w:val="18"/>
              </w:rPr>
            </w:pPr>
          </w:p>
        </w:tc>
        <w:tc>
          <w:tcPr>
            <w:tcW w:w="716" w:type="dxa"/>
            <w:shd w:val="clear" w:color="auto" w:fill="auto"/>
            <w:tcMar>
              <w:top w:w="20" w:type="dxa"/>
              <w:left w:w="30" w:type="dxa"/>
              <w:bottom w:w="20" w:type="dxa"/>
              <w:right w:w="30" w:type="dxa"/>
            </w:tcMar>
            <w:vAlign w:val="center"/>
          </w:tcPr>
          <w:p w14:paraId="5336CFBE">
            <w:pPr>
              <w:widowControl/>
              <w:spacing w:line="240" w:lineRule="auto"/>
              <w:jc w:val="center"/>
              <w:rPr>
                <w:rFonts w:hint="default" w:ascii="Times New Roman" w:hAnsi="Times New Roman" w:cs="Times New Roman"/>
                <w:color w:val="auto"/>
                <w:kern w:val="0"/>
                <w:sz w:val="18"/>
                <w:szCs w:val="18"/>
              </w:rPr>
            </w:pPr>
          </w:p>
        </w:tc>
        <w:tc>
          <w:tcPr>
            <w:tcW w:w="1206" w:type="dxa"/>
            <w:shd w:val="clear" w:color="auto" w:fill="auto"/>
            <w:tcMar>
              <w:top w:w="20" w:type="dxa"/>
              <w:bottom w:w="20" w:type="dxa"/>
            </w:tcMar>
            <w:vAlign w:val="center"/>
          </w:tcPr>
          <w:p w14:paraId="0A4704F1">
            <w:pPr>
              <w:widowControl/>
              <w:spacing w:line="240" w:lineRule="auto"/>
              <w:jc w:val="center"/>
              <w:rPr>
                <w:rFonts w:hint="default" w:ascii="Times New Roman" w:hAnsi="Times New Roman" w:cs="Times New Roman"/>
                <w:color w:val="auto"/>
                <w:kern w:val="0"/>
                <w:sz w:val="18"/>
                <w:szCs w:val="18"/>
              </w:rPr>
            </w:pPr>
          </w:p>
        </w:tc>
      </w:tr>
      <w:tr w14:paraId="4FB0C6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10" w:hRule="atLeast"/>
          <w:jc w:val="center"/>
        </w:trPr>
        <w:tc>
          <w:tcPr>
            <w:tcW w:w="635" w:type="dxa"/>
            <w:shd w:val="clear" w:color="auto" w:fill="auto"/>
            <w:tcMar>
              <w:top w:w="20" w:type="dxa"/>
              <w:left w:w="30" w:type="dxa"/>
              <w:bottom w:w="20" w:type="dxa"/>
              <w:right w:w="30" w:type="dxa"/>
            </w:tcMar>
            <w:vAlign w:val="center"/>
          </w:tcPr>
          <w:p w14:paraId="3FE5819D">
            <w:pPr>
              <w:widowControl/>
              <w:spacing w:line="240" w:lineRule="auto"/>
              <w:jc w:val="center"/>
              <w:rPr>
                <w:rFonts w:hint="default" w:ascii="Times New Roman" w:hAnsi="Times New Roman" w:cs="Times New Roman"/>
                <w:color w:val="auto"/>
                <w:kern w:val="0"/>
                <w:sz w:val="18"/>
                <w:szCs w:val="18"/>
              </w:rPr>
            </w:pPr>
          </w:p>
        </w:tc>
        <w:tc>
          <w:tcPr>
            <w:tcW w:w="849" w:type="dxa"/>
            <w:shd w:val="clear" w:color="auto" w:fill="auto"/>
            <w:tcMar>
              <w:top w:w="20" w:type="dxa"/>
              <w:left w:w="30" w:type="dxa"/>
              <w:bottom w:w="20" w:type="dxa"/>
              <w:right w:w="30" w:type="dxa"/>
            </w:tcMar>
            <w:vAlign w:val="center"/>
          </w:tcPr>
          <w:p w14:paraId="2D4912C1">
            <w:pPr>
              <w:widowControl/>
              <w:spacing w:line="240" w:lineRule="auto"/>
              <w:jc w:val="center"/>
              <w:rPr>
                <w:rFonts w:hint="default" w:ascii="Times New Roman" w:hAnsi="Times New Roman" w:cs="Times New Roman"/>
                <w:color w:val="auto"/>
                <w:kern w:val="0"/>
                <w:sz w:val="18"/>
                <w:szCs w:val="18"/>
              </w:rPr>
            </w:pPr>
          </w:p>
        </w:tc>
        <w:tc>
          <w:tcPr>
            <w:tcW w:w="607" w:type="dxa"/>
            <w:shd w:val="clear" w:color="auto" w:fill="auto"/>
            <w:tcMar>
              <w:top w:w="20" w:type="dxa"/>
              <w:left w:w="30" w:type="dxa"/>
              <w:bottom w:w="20" w:type="dxa"/>
              <w:right w:w="30" w:type="dxa"/>
            </w:tcMar>
            <w:vAlign w:val="center"/>
          </w:tcPr>
          <w:p w14:paraId="03F766A2">
            <w:pPr>
              <w:widowControl/>
              <w:spacing w:line="240" w:lineRule="auto"/>
              <w:jc w:val="center"/>
              <w:rPr>
                <w:rFonts w:hint="default" w:ascii="Times New Roman" w:hAnsi="Times New Roman" w:cs="Times New Roman"/>
                <w:color w:val="auto"/>
                <w:kern w:val="0"/>
                <w:sz w:val="18"/>
                <w:szCs w:val="18"/>
              </w:rPr>
            </w:pPr>
          </w:p>
        </w:tc>
        <w:tc>
          <w:tcPr>
            <w:tcW w:w="652" w:type="dxa"/>
            <w:shd w:val="clear" w:color="auto" w:fill="auto"/>
            <w:tcMar>
              <w:top w:w="20" w:type="dxa"/>
              <w:left w:w="30" w:type="dxa"/>
              <w:bottom w:w="20" w:type="dxa"/>
              <w:right w:w="30" w:type="dxa"/>
            </w:tcMar>
            <w:vAlign w:val="center"/>
          </w:tcPr>
          <w:p w14:paraId="740D5B1D">
            <w:pPr>
              <w:widowControl/>
              <w:spacing w:line="240" w:lineRule="auto"/>
              <w:jc w:val="center"/>
              <w:rPr>
                <w:rFonts w:hint="default" w:ascii="Times New Roman" w:hAnsi="Times New Roman" w:cs="Times New Roman"/>
                <w:color w:val="auto"/>
                <w:kern w:val="0"/>
                <w:sz w:val="18"/>
                <w:szCs w:val="18"/>
              </w:rPr>
            </w:pPr>
          </w:p>
        </w:tc>
        <w:tc>
          <w:tcPr>
            <w:tcW w:w="716" w:type="dxa"/>
            <w:shd w:val="clear" w:color="auto" w:fill="auto"/>
            <w:tcMar>
              <w:top w:w="20" w:type="dxa"/>
              <w:left w:w="30" w:type="dxa"/>
              <w:bottom w:w="20" w:type="dxa"/>
              <w:right w:w="30" w:type="dxa"/>
            </w:tcMar>
            <w:vAlign w:val="center"/>
          </w:tcPr>
          <w:p w14:paraId="5E273FDC">
            <w:pPr>
              <w:widowControl/>
              <w:spacing w:line="240" w:lineRule="auto"/>
              <w:jc w:val="center"/>
              <w:rPr>
                <w:rFonts w:hint="default" w:ascii="Times New Roman" w:hAnsi="Times New Roman" w:cs="Times New Roman"/>
                <w:color w:val="auto"/>
                <w:kern w:val="0"/>
                <w:sz w:val="18"/>
                <w:szCs w:val="18"/>
              </w:rPr>
            </w:pPr>
          </w:p>
        </w:tc>
        <w:tc>
          <w:tcPr>
            <w:tcW w:w="1206" w:type="dxa"/>
            <w:shd w:val="clear" w:color="auto" w:fill="auto"/>
            <w:tcMar>
              <w:top w:w="20" w:type="dxa"/>
              <w:bottom w:w="20" w:type="dxa"/>
            </w:tcMar>
            <w:vAlign w:val="center"/>
          </w:tcPr>
          <w:p w14:paraId="6A4921CF">
            <w:pPr>
              <w:widowControl/>
              <w:spacing w:line="240" w:lineRule="auto"/>
              <w:jc w:val="center"/>
              <w:rPr>
                <w:rFonts w:hint="default" w:ascii="Times New Roman" w:hAnsi="Times New Roman" w:cs="Times New Roman"/>
                <w:color w:val="auto"/>
                <w:kern w:val="0"/>
                <w:sz w:val="18"/>
                <w:szCs w:val="18"/>
              </w:rPr>
            </w:pPr>
          </w:p>
        </w:tc>
      </w:tr>
      <w:tr w14:paraId="359F7A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10" w:hRule="atLeast"/>
          <w:jc w:val="center"/>
        </w:trPr>
        <w:tc>
          <w:tcPr>
            <w:tcW w:w="635" w:type="dxa"/>
            <w:shd w:val="clear" w:color="auto" w:fill="auto"/>
            <w:tcMar>
              <w:top w:w="20" w:type="dxa"/>
              <w:left w:w="30" w:type="dxa"/>
              <w:bottom w:w="20" w:type="dxa"/>
              <w:right w:w="30" w:type="dxa"/>
            </w:tcMar>
            <w:vAlign w:val="center"/>
          </w:tcPr>
          <w:p w14:paraId="207B65AB">
            <w:pPr>
              <w:widowControl/>
              <w:spacing w:line="240" w:lineRule="auto"/>
              <w:jc w:val="center"/>
              <w:rPr>
                <w:rFonts w:hint="default" w:ascii="Times New Roman" w:hAnsi="Times New Roman" w:cs="Times New Roman"/>
                <w:color w:val="auto"/>
                <w:kern w:val="0"/>
                <w:sz w:val="18"/>
                <w:szCs w:val="18"/>
              </w:rPr>
            </w:pPr>
          </w:p>
        </w:tc>
        <w:tc>
          <w:tcPr>
            <w:tcW w:w="849" w:type="dxa"/>
            <w:shd w:val="clear" w:color="auto" w:fill="auto"/>
            <w:tcMar>
              <w:top w:w="20" w:type="dxa"/>
              <w:left w:w="30" w:type="dxa"/>
              <w:bottom w:w="20" w:type="dxa"/>
              <w:right w:w="30" w:type="dxa"/>
            </w:tcMar>
            <w:vAlign w:val="center"/>
          </w:tcPr>
          <w:p w14:paraId="7BB7A850">
            <w:pPr>
              <w:widowControl/>
              <w:spacing w:line="240" w:lineRule="auto"/>
              <w:jc w:val="center"/>
              <w:rPr>
                <w:rFonts w:hint="default" w:ascii="Times New Roman" w:hAnsi="Times New Roman" w:cs="Times New Roman"/>
                <w:color w:val="auto"/>
                <w:kern w:val="0"/>
                <w:sz w:val="18"/>
                <w:szCs w:val="18"/>
              </w:rPr>
            </w:pPr>
          </w:p>
        </w:tc>
        <w:tc>
          <w:tcPr>
            <w:tcW w:w="607" w:type="dxa"/>
            <w:shd w:val="clear" w:color="auto" w:fill="auto"/>
            <w:tcMar>
              <w:top w:w="20" w:type="dxa"/>
              <w:left w:w="30" w:type="dxa"/>
              <w:bottom w:w="20" w:type="dxa"/>
              <w:right w:w="30" w:type="dxa"/>
            </w:tcMar>
            <w:vAlign w:val="center"/>
          </w:tcPr>
          <w:p w14:paraId="3A05CFCD">
            <w:pPr>
              <w:widowControl/>
              <w:spacing w:line="240" w:lineRule="auto"/>
              <w:jc w:val="center"/>
              <w:rPr>
                <w:rFonts w:hint="default" w:ascii="Times New Roman" w:hAnsi="Times New Roman" w:cs="Times New Roman"/>
                <w:color w:val="auto"/>
                <w:kern w:val="0"/>
                <w:sz w:val="18"/>
                <w:szCs w:val="18"/>
              </w:rPr>
            </w:pPr>
          </w:p>
        </w:tc>
        <w:tc>
          <w:tcPr>
            <w:tcW w:w="652" w:type="dxa"/>
            <w:shd w:val="clear" w:color="auto" w:fill="auto"/>
            <w:tcMar>
              <w:top w:w="20" w:type="dxa"/>
              <w:left w:w="30" w:type="dxa"/>
              <w:bottom w:w="20" w:type="dxa"/>
              <w:right w:w="30" w:type="dxa"/>
            </w:tcMar>
            <w:vAlign w:val="center"/>
          </w:tcPr>
          <w:p w14:paraId="5D09D2A0">
            <w:pPr>
              <w:widowControl/>
              <w:spacing w:line="240" w:lineRule="auto"/>
              <w:jc w:val="center"/>
              <w:rPr>
                <w:rFonts w:hint="default" w:ascii="Times New Roman" w:hAnsi="Times New Roman" w:cs="Times New Roman"/>
                <w:color w:val="auto"/>
                <w:kern w:val="0"/>
                <w:sz w:val="18"/>
                <w:szCs w:val="18"/>
              </w:rPr>
            </w:pPr>
          </w:p>
        </w:tc>
        <w:tc>
          <w:tcPr>
            <w:tcW w:w="716" w:type="dxa"/>
            <w:shd w:val="clear" w:color="auto" w:fill="auto"/>
            <w:tcMar>
              <w:top w:w="20" w:type="dxa"/>
              <w:left w:w="30" w:type="dxa"/>
              <w:bottom w:w="20" w:type="dxa"/>
              <w:right w:w="30" w:type="dxa"/>
            </w:tcMar>
            <w:vAlign w:val="center"/>
          </w:tcPr>
          <w:p w14:paraId="485821CF">
            <w:pPr>
              <w:widowControl/>
              <w:spacing w:line="240" w:lineRule="auto"/>
              <w:jc w:val="center"/>
              <w:rPr>
                <w:rFonts w:hint="default" w:ascii="Times New Roman" w:hAnsi="Times New Roman" w:cs="Times New Roman"/>
                <w:color w:val="auto"/>
                <w:kern w:val="0"/>
                <w:sz w:val="18"/>
                <w:szCs w:val="18"/>
              </w:rPr>
            </w:pPr>
          </w:p>
        </w:tc>
        <w:tc>
          <w:tcPr>
            <w:tcW w:w="1206" w:type="dxa"/>
            <w:shd w:val="clear" w:color="auto" w:fill="auto"/>
            <w:tcMar>
              <w:top w:w="20" w:type="dxa"/>
              <w:bottom w:w="20" w:type="dxa"/>
            </w:tcMar>
            <w:vAlign w:val="center"/>
          </w:tcPr>
          <w:p w14:paraId="0135CEE2">
            <w:pPr>
              <w:widowControl/>
              <w:spacing w:line="240" w:lineRule="auto"/>
              <w:jc w:val="center"/>
              <w:rPr>
                <w:rFonts w:hint="default" w:ascii="Times New Roman" w:hAnsi="Times New Roman" w:cs="Times New Roman"/>
                <w:color w:val="auto"/>
                <w:kern w:val="0"/>
                <w:sz w:val="18"/>
                <w:szCs w:val="18"/>
              </w:rPr>
            </w:pPr>
          </w:p>
        </w:tc>
      </w:tr>
      <w:tr w14:paraId="3A45F5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10" w:hRule="atLeast"/>
          <w:jc w:val="center"/>
        </w:trPr>
        <w:tc>
          <w:tcPr>
            <w:tcW w:w="635" w:type="dxa"/>
            <w:shd w:val="clear" w:color="auto" w:fill="auto"/>
            <w:tcMar>
              <w:top w:w="20" w:type="dxa"/>
              <w:left w:w="30" w:type="dxa"/>
              <w:bottom w:w="20" w:type="dxa"/>
              <w:right w:w="30" w:type="dxa"/>
            </w:tcMar>
            <w:vAlign w:val="center"/>
          </w:tcPr>
          <w:p w14:paraId="2DBCCA1E">
            <w:pPr>
              <w:widowControl/>
              <w:spacing w:line="240" w:lineRule="auto"/>
              <w:jc w:val="center"/>
              <w:rPr>
                <w:rFonts w:hint="default" w:ascii="Times New Roman" w:hAnsi="Times New Roman" w:cs="Times New Roman"/>
                <w:color w:val="auto"/>
                <w:kern w:val="0"/>
                <w:sz w:val="18"/>
                <w:szCs w:val="18"/>
              </w:rPr>
            </w:pPr>
          </w:p>
        </w:tc>
        <w:tc>
          <w:tcPr>
            <w:tcW w:w="849" w:type="dxa"/>
            <w:shd w:val="clear" w:color="auto" w:fill="auto"/>
            <w:tcMar>
              <w:top w:w="20" w:type="dxa"/>
              <w:left w:w="30" w:type="dxa"/>
              <w:bottom w:w="20" w:type="dxa"/>
              <w:right w:w="30" w:type="dxa"/>
            </w:tcMar>
            <w:vAlign w:val="center"/>
          </w:tcPr>
          <w:p w14:paraId="589096B8">
            <w:pPr>
              <w:widowControl/>
              <w:spacing w:line="240" w:lineRule="auto"/>
              <w:jc w:val="center"/>
              <w:rPr>
                <w:rFonts w:hint="default" w:ascii="Times New Roman" w:hAnsi="Times New Roman" w:cs="Times New Roman"/>
                <w:color w:val="auto"/>
                <w:kern w:val="0"/>
                <w:sz w:val="18"/>
                <w:szCs w:val="18"/>
              </w:rPr>
            </w:pPr>
          </w:p>
        </w:tc>
        <w:tc>
          <w:tcPr>
            <w:tcW w:w="607" w:type="dxa"/>
            <w:shd w:val="clear" w:color="auto" w:fill="auto"/>
            <w:tcMar>
              <w:top w:w="20" w:type="dxa"/>
              <w:left w:w="30" w:type="dxa"/>
              <w:bottom w:w="20" w:type="dxa"/>
              <w:right w:w="30" w:type="dxa"/>
            </w:tcMar>
            <w:vAlign w:val="center"/>
          </w:tcPr>
          <w:p w14:paraId="047F3681">
            <w:pPr>
              <w:widowControl/>
              <w:spacing w:line="240" w:lineRule="auto"/>
              <w:jc w:val="center"/>
              <w:rPr>
                <w:rFonts w:hint="default" w:ascii="Times New Roman" w:hAnsi="Times New Roman" w:cs="Times New Roman"/>
                <w:color w:val="auto"/>
                <w:kern w:val="0"/>
                <w:sz w:val="18"/>
                <w:szCs w:val="18"/>
              </w:rPr>
            </w:pPr>
          </w:p>
        </w:tc>
        <w:tc>
          <w:tcPr>
            <w:tcW w:w="652" w:type="dxa"/>
            <w:shd w:val="clear" w:color="auto" w:fill="auto"/>
            <w:tcMar>
              <w:top w:w="20" w:type="dxa"/>
              <w:left w:w="30" w:type="dxa"/>
              <w:bottom w:w="20" w:type="dxa"/>
              <w:right w:w="30" w:type="dxa"/>
            </w:tcMar>
            <w:vAlign w:val="center"/>
          </w:tcPr>
          <w:p w14:paraId="70201579">
            <w:pPr>
              <w:widowControl/>
              <w:spacing w:line="240" w:lineRule="auto"/>
              <w:jc w:val="center"/>
              <w:rPr>
                <w:rFonts w:hint="default" w:ascii="Times New Roman" w:hAnsi="Times New Roman" w:cs="Times New Roman"/>
                <w:color w:val="auto"/>
                <w:kern w:val="0"/>
                <w:sz w:val="18"/>
                <w:szCs w:val="18"/>
              </w:rPr>
            </w:pPr>
          </w:p>
        </w:tc>
        <w:tc>
          <w:tcPr>
            <w:tcW w:w="716" w:type="dxa"/>
            <w:shd w:val="clear" w:color="auto" w:fill="auto"/>
            <w:tcMar>
              <w:top w:w="20" w:type="dxa"/>
              <w:left w:w="30" w:type="dxa"/>
              <w:bottom w:w="20" w:type="dxa"/>
              <w:right w:w="30" w:type="dxa"/>
            </w:tcMar>
            <w:vAlign w:val="center"/>
          </w:tcPr>
          <w:p w14:paraId="7A388694">
            <w:pPr>
              <w:widowControl/>
              <w:spacing w:line="240" w:lineRule="auto"/>
              <w:jc w:val="center"/>
              <w:rPr>
                <w:rFonts w:hint="default" w:ascii="Times New Roman" w:hAnsi="Times New Roman" w:cs="Times New Roman"/>
                <w:color w:val="auto"/>
                <w:kern w:val="0"/>
                <w:sz w:val="18"/>
                <w:szCs w:val="18"/>
              </w:rPr>
            </w:pPr>
          </w:p>
        </w:tc>
        <w:tc>
          <w:tcPr>
            <w:tcW w:w="1206" w:type="dxa"/>
            <w:shd w:val="clear" w:color="auto" w:fill="auto"/>
            <w:tcMar>
              <w:top w:w="20" w:type="dxa"/>
              <w:bottom w:w="20" w:type="dxa"/>
            </w:tcMar>
            <w:vAlign w:val="center"/>
          </w:tcPr>
          <w:p w14:paraId="795FB96D">
            <w:pPr>
              <w:widowControl/>
              <w:spacing w:line="240" w:lineRule="auto"/>
              <w:jc w:val="center"/>
              <w:rPr>
                <w:rFonts w:hint="default" w:ascii="Times New Roman" w:hAnsi="Times New Roman" w:cs="Times New Roman"/>
                <w:color w:val="auto"/>
                <w:kern w:val="0"/>
                <w:sz w:val="18"/>
                <w:szCs w:val="18"/>
              </w:rPr>
            </w:pPr>
          </w:p>
        </w:tc>
      </w:tr>
    </w:tbl>
    <w:p w14:paraId="7F5FA723">
      <w:pPr>
        <w:rPr>
          <w:rFonts w:hint="default" w:ascii="Times New Roman" w:hAnsi="Times New Roman" w:eastAsia="黑体" w:cs="Times New Roman"/>
          <w:color w:val="auto"/>
          <w:szCs w:val="28"/>
        </w:rPr>
      </w:pPr>
      <w:r>
        <w:rPr>
          <w:rFonts w:hint="default" w:ascii="Times New Roman" w:hAnsi="Times New Roman" w:eastAsia="黑体" w:cs="Times New Roman"/>
          <w:color w:val="auto"/>
          <w:szCs w:val="28"/>
        </w:rPr>
        <w:t>三、</w:t>
      </w:r>
      <w:r>
        <w:rPr>
          <w:rFonts w:hint="eastAsia" w:eastAsia="黑体" w:cs="Times New Roman"/>
          <w:color w:val="auto"/>
          <w:szCs w:val="28"/>
          <w:lang w:eastAsia="zh-CN"/>
        </w:rPr>
        <w:t>装配式建筑物化阶段</w:t>
      </w:r>
      <w:r>
        <w:rPr>
          <w:rFonts w:hint="default" w:ascii="Times New Roman" w:hAnsi="Times New Roman" w:eastAsia="黑体" w:cs="Times New Roman"/>
          <w:color w:val="auto"/>
          <w:szCs w:val="28"/>
        </w:rPr>
        <w:t>计量数据</w:t>
      </w:r>
    </w:p>
    <w:p w14:paraId="139BD324">
      <w:pPr>
        <w:rPr>
          <w:rFonts w:hint="default" w:ascii="Times New Roman" w:hAnsi="Times New Roman" w:eastAsia="黑体" w:cs="Times New Roman"/>
          <w:color w:val="auto"/>
          <w:szCs w:val="28"/>
        </w:rPr>
      </w:pPr>
      <w:r>
        <w:rPr>
          <w:rFonts w:hint="default" w:ascii="Times New Roman" w:hAnsi="Times New Roman" w:eastAsia="黑体" w:cs="Times New Roman"/>
          <w:color w:val="auto"/>
          <w:szCs w:val="28"/>
        </w:rPr>
        <w:t>1.</w:t>
      </w:r>
      <w:r>
        <w:rPr>
          <w:rFonts w:hint="eastAsia" w:eastAsia="黑体" w:cs="Times New Roman"/>
          <w:color w:val="auto"/>
          <w:szCs w:val="28"/>
          <w:lang w:val="en-US" w:eastAsia="zh-CN"/>
        </w:rPr>
        <w:t>物质和能量流数据</w:t>
      </w:r>
      <w:r>
        <w:rPr>
          <w:rFonts w:hint="default" w:ascii="Times New Roman" w:hAnsi="Times New Roman" w:eastAsia="黑体" w:cs="Times New Roman"/>
          <w:color w:val="auto"/>
          <w:szCs w:val="28"/>
        </w:rPr>
        <w:t>汇总</w:t>
      </w:r>
    </w:p>
    <w:tbl>
      <w:tblPr>
        <w:tblStyle w:val="2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76"/>
        <w:gridCol w:w="576"/>
        <w:gridCol w:w="756"/>
        <w:gridCol w:w="936"/>
        <w:gridCol w:w="1836"/>
        <w:gridCol w:w="936"/>
        <w:gridCol w:w="1707"/>
      </w:tblGrid>
      <w:tr w14:paraId="6D84E2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Align w:val="center"/>
          </w:tcPr>
          <w:p w14:paraId="5BFFD56E">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序号</w:t>
            </w:r>
          </w:p>
        </w:tc>
        <w:tc>
          <w:tcPr>
            <w:tcW w:w="0" w:type="auto"/>
            <w:vAlign w:val="center"/>
          </w:tcPr>
          <w:p w14:paraId="00ABD680">
            <w:pPr>
              <w:spacing w:line="240" w:lineRule="auto"/>
              <w:jc w:val="center"/>
              <w:rPr>
                <w:rFonts w:hint="eastAsia" w:ascii="Times New Roman" w:hAnsi="Times New Roman" w:eastAsia="宋体" w:cs="Times New Roman"/>
                <w:color w:val="auto"/>
                <w:sz w:val="18"/>
                <w:szCs w:val="18"/>
                <w:lang w:val="en-US" w:eastAsia="zh-CN"/>
              </w:rPr>
            </w:pPr>
            <w:r>
              <w:rPr>
                <w:rFonts w:hint="eastAsia" w:cs="Times New Roman"/>
                <w:color w:val="auto"/>
                <w:sz w:val="18"/>
                <w:szCs w:val="18"/>
                <w:lang w:val="en-US" w:eastAsia="zh-CN"/>
              </w:rPr>
              <w:t>源流</w:t>
            </w:r>
          </w:p>
        </w:tc>
        <w:tc>
          <w:tcPr>
            <w:tcW w:w="0" w:type="auto"/>
            <w:vAlign w:val="center"/>
          </w:tcPr>
          <w:p w14:paraId="5B509170">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消耗量</w:t>
            </w:r>
          </w:p>
        </w:tc>
        <w:tc>
          <w:tcPr>
            <w:tcW w:w="0" w:type="auto"/>
            <w:vAlign w:val="center"/>
          </w:tcPr>
          <w:p w14:paraId="3CE86495">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计量器具</w:t>
            </w:r>
          </w:p>
        </w:tc>
        <w:tc>
          <w:tcPr>
            <w:tcW w:w="0" w:type="auto"/>
            <w:vAlign w:val="center"/>
          </w:tcPr>
          <w:p w14:paraId="3A6786D7">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器具安装位置及用途</w:t>
            </w:r>
          </w:p>
        </w:tc>
        <w:tc>
          <w:tcPr>
            <w:tcW w:w="0" w:type="auto"/>
            <w:vAlign w:val="center"/>
          </w:tcPr>
          <w:p w14:paraId="30ACB05C">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不确定度</w:t>
            </w:r>
          </w:p>
        </w:tc>
        <w:tc>
          <w:tcPr>
            <w:tcW w:w="0" w:type="auto"/>
          </w:tcPr>
          <w:p w14:paraId="6BF6937C">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检定/校准证书编号</w:t>
            </w:r>
          </w:p>
        </w:tc>
      </w:tr>
      <w:tr w14:paraId="2FCFB6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Align w:val="center"/>
          </w:tcPr>
          <w:p w14:paraId="1DF6E13B">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1</w:t>
            </w:r>
          </w:p>
        </w:tc>
        <w:tc>
          <w:tcPr>
            <w:tcW w:w="0" w:type="auto"/>
            <w:vAlign w:val="center"/>
          </w:tcPr>
          <w:p w14:paraId="232B4477">
            <w:pPr>
              <w:spacing w:line="240" w:lineRule="auto"/>
              <w:jc w:val="center"/>
              <w:rPr>
                <w:rFonts w:hint="default" w:ascii="Times New Roman" w:hAnsi="Times New Roman" w:cs="Times New Roman"/>
                <w:color w:val="auto"/>
                <w:sz w:val="18"/>
                <w:szCs w:val="18"/>
              </w:rPr>
            </w:pPr>
          </w:p>
        </w:tc>
        <w:tc>
          <w:tcPr>
            <w:tcW w:w="0" w:type="auto"/>
          </w:tcPr>
          <w:p w14:paraId="4DEE4D44">
            <w:pPr>
              <w:spacing w:line="240" w:lineRule="auto"/>
              <w:jc w:val="center"/>
              <w:rPr>
                <w:rFonts w:hint="default" w:ascii="Times New Roman" w:hAnsi="Times New Roman" w:cs="Times New Roman"/>
                <w:color w:val="auto"/>
                <w:sz w:val="18"/>
                <w:szCs w:val="18"/>
              </w:rPr>
            </w:pPr>
          </w:p>
        </w:tc>
        <w:tc>
          <w:tcPr>
            <w:tcW w:w="0" w:type="auto"/>
          </w:tcPr>
          <w:p w14:paraId="4A1700D8">
            <w:pPr>
              <w:spacing w:line="240" w:lineRule="auto"/>
              <w:jc w:val="center"/>
              <w:rPr>
                <w:rFonts w:hint="default" w:ascii="Times New Roman" w:hAnsi="Times New Roman" w:cs="Times New Roman"/>
                <w:color w:val="auto"/>
                <w:sz w:val="18"/>
                <w:szCs w:val="18"/>
              </w:rPr>
            </w:pPr>
          </w:p>
        </w:tc>
        <w:tc>
          <w:tcPr>
            <w:tcW w:w="0" w:type="auto"/>
          </w:tcPr>
          <w:p w14:paraId="6F8841D2">
            <w:pPr>
              <w:spacing w:line="240" w:lineRule="auto"/>
              <w:jc w:val="center"/>
              <w:rPr>
                <w:rFonts w:hint="default" w:ascii="Times New Roman" w:hAnsi="Times New Roman" w:cs="Times New Roman"/>
                <w:color w:val="auto"/>
                <w:sz w:val="18"/>
                <w:szCs w:val="18"/>
              </w:rPr>
            </w:pPr>
          </w:p>
        </w:tc>
        <w:tc>
          <w:tcPr>
            <w:tcW w:w="0" w:type="auto"/>
            <w:vAlign w:val="center"/>
          </w:tcPr>
          <w:p w14:paraId="59520FF2">
            <w:pPr>
              <w:spacing w:line="240" w:lineRule="auto"/>
              <w:jc w:val="center"/>
              <w:rPr>
                <w:rFonts w:hint="default" w:ascii="Times New Roman" w:hAnsi="Times New Roman" w:cs="Times New Roman"/>
                <w:color w:val="auto"/>
                <w:sz w:val="18"/>
                <w:szCs w:val="18"/>
              </w:rPr>
            </w:pPr>
          </w:p>
        </w:tc>
        <w:tc>
          <w:tcPr>
            <w:tcW w:w="0" w:type="auto"/>
          </w:tcPr>
          <w:p w14:paraId="3C3A9E17">
            <w:pPr>
              <w:spacing w:line="240" w:lineRule="auto"/>
              <w:jc w:val="center"/>
              <w:rPr>
                <w:rFonts w:hint="default" w:ascii="Times New Roman" w:hAnsi="Times New Roman" w:cs="Times New Roman"/>
                <w:color w:val="auto"/>
                <w:sz w:val="18"/>
                <w:szCs w:val="18"/>
              </w:rPr>
            </w:pPr>
          </w:p>
        </w:tc>
      </w:tr>
      <w:tr w14:paraId="0D88C7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Align w:val="center"/>
          </w:tcPr>
          <w:p w14:paraId="4EA351F2">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2</w:t>
            </w:r>
          </w:p>
        </w:tc>
        <w:tc>
          <w:tcPr>
            <w:tcW w:w="0" w:type="auto"/>
            <w:vAlign w:val="center"/>
          </w:tcPr>
          <w:p w14:paraId="6A8B9B76">
            <w:pPr>
              <w:spacing w:line="240" w:lineRule="auto"/>
              <w:jc w:val="center"/>
              <w:rPr>
                <w:rFonts w:hint="default" w:ascii="Times New Roman" w:hAnsi="Times New Roman" w:cs="Times New Roman"/>
                <w:color w:val="auto"/>
                <w:sz w:val="18"/>
                <w:szCs w:val="18"/>
              </w:rPr>
            </w:pPr>
          </w:p>
        </w:tc>
        <w:tc>
          <w:tcPr>
            <w:tcW w:w="0" w:type="auto"/>
          </w:tcPr>
          <w:p w14:paraId="08D7E2F3">
            <w:pPr>
              <w:spacing w:line="240" w:lineRule="auto"/>
              <w:jc w:val="center"/>
              <w:rPr>
                <w:rFonts w:hint="default" w:ascii="Times New Roman" w:hAnsi="Times New Roman" w:cs="Times New Roman"/>
                <w:color w:val="auto"/>
                <w:sz w:val="18"/>
                <w:szCs w:val="18"/>
              </w:rPr>
            </w:pPr>
          </w:p>
        </w:tc>
        <w:tc>
          <w:tcPr>
            <w:tcW w:w="0" w:type="auto"/>
          </w:tcPr>
          <w:p w14:paraId="5D2A3907">
            <w:pPr>
              <w:spacing w:line="240" w:lineRule="auto"/>
              <w:jc w:val="center"/>
              <w:rPr>
                <w:rFonts w:hint="default" w:ascii="Times New Roman" w:hAnsi="Times New Roman" w:cs="Times New Roman"/>
                <w:color w:val="auto"/>
                <w:sz w:val="18"/>
                <w:szCs w:val="18"/>
              </w:rPr>
            </w:pPr>
          </w:p>
        </w:tc>
        <w:tc>
          <w:tcPr>
            <w:tcW w:w="0" w:type="auto"/>
          </w:tcPr>
          <w:p w14:paraId="37DA9696">
            <w:pPr>
              <w:spacing w:line="240" w:lineRule="auto"/>
              <w:jc w:val="center"/>
              <w:rPr>
                <w:rFonts w:hint="default" w:ascii="Times New Roman" w:hAnsi="Times New Roman" w:cs="Times New Roman"/>
                <w:color w:val="auto"/>
                <w:sz w:val="18"/>
                <w:szCs w:val="18"/>
              </w:rPr>
            </w:pPr>
          </w:p>
        </w:tc>
        <w:tc>
          <w:tcPr>
            <w:tcW w:w="0" w:type="auto"/>
            <w:vAlign w:val="center"/>
          </w:tcPr>
          <w:p w14:paraId="57CFD88D">
            <w:pPr>
              <w:spacing w:line="240" w:lineRule="auto"/>
              <w:jc w:val="center"/>
              <w:rPr>
                <w:rFonts w:hint="default" w:ascii="Times New Roman" w:hAnsi="Times New Roman" w:cs="Times New Roman"/>
                <w:color w:val="auto"/>
                <w:sz w:val="18"/>
                <w:szCs w:val="18"/>
              </w:rPr>
            </w:pPr>
          </w:p>
        </w:tc>
        <w:tc>
          <w:tcPr>
            <w:tcW w:w="0" w:type="auto"/>
          </w:tcPr>
          <w:p w14:paraId="5BB36DD1">
            <w:pPr>
              <w:spacing w:line="240" w:lineRule="auto"/>
              <w:jc w:val="center"/>
              <w:rPr>
                <w:rFonts w:hint="default" w:ascii="Times New Roman" w:hAnsi="Times New Roman" w:cs="Times New Roman"/>
                <w:color w:val="auto"/>
                <w:sz w:val="18"/>
                <w:szCs w:val="18"/>
              </w:rPr>
            </w:pPr>
          </w:p>
        </w:tc>
      </w:tr>
      <w:tr w14:paraId="752948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Align w:val="center"/>
          </w:tcPr>
          <w:p w14:paraId="535BC017">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3</w:t>
            </w:r>
          </w:p>
        </w:tc>
        <w:tc>
          <w:tcPr>
            <w:tcW w:w="0" w:type="auto"/>
            <w:vAlign w:val="center"/>
          </w:tcPr>
          <w:p w14:paraId="01E50CB9">
            <w:pPr>
              <w:spacing w:line="240" w:lineRule="auto"/>
              <w:jc w:val="center"/>
              <w:rPr>
                <w:rFonts w:hint="default" w:ascii="Times New Roman" w:hAnsi="Times New Roman" w:cs="Times New Roman"/>
                <w:color w:val="auto"/>
                <w:sz w:val="18"/>
                <w:szCs w:val="18"/>
              </w:rPr>
            </w:pPr>
          </w:p>
        </w:tc>
        <w:tc>
          <w:tcPr>
            <w:tcW w:w="0" w:type="auto"/>
          </w:tcPr>
          <w:p w14:paraId="4B25CAEE">
            <w:pPr>
              <w:spacing w:line="240" w:lineRule="auto"/>
              <w:jc w:val="center"/>
              <w:rPr>
                <w:rFonts w:hint="default" w:ascii="Times New Roman" w:hAnsi="Times New Roman" w:cs="Times New Roman"/>
                <w:color w:val="auto"/>
                <w:sz w:val="18"/>
                <w:szCs w:val="18"/>
              </w:rPr>
            </w:pPr>
          </w:p>
        </w:tc>
        <w:tc>
          <w:tcPr>
            <w:tcW w:w="0" w:type="auto"/>
          </w:tcPr>
          <w:p w14:paraId="03E6EF5F">
            <w:pPr>
              <w:spacing w:line="240" w:lineRule="auto"/>
              <w:jc w:val="center"/>
              <w:rPr>
                <w:rFonts w:hint="default" w:ascii="Times New Roman" w:hAnsi="Times New Roman" w:cs="Times New Roman"/>
                <w:color w:val="auto"/>
                <w:sz w:val="18"/>
                <w:szCs w:val="18"/>
              </w:rPr>
            </w:pPr>
          </w:p>
        </w:tc>
        <w:tc>
          <w:tcPr>
            <w:tcW w:w="0" w:type="auto"/>
          </w:tcPr>
          <w:p w14:paraId="4D79D100">
            <w:pPr>
              <w:spacing w:line="240" w:lineRule="auto"/>
              <w:jc w:val="center"/>
              <w:rPr>
                <w:rFonts w:hint="default" w:ascii="Times New Roman" w:hAnsi="Times New Roman" w:cs="Times New Roman"/>
                <w:color w:val="auto"/>
                <w:sz w:val="18"/>
                <w:szCs w:val="18"/>
              </w:rPr>
            </w:pPr>
          </w:p>
        </w:tc>
        <w:tc>
          <w:tcPr>
            <w:tcW w:w="0" w:type="auto"/>
            <w:vAlign w:val="center"/>
          </w:tcPr>
          <w:p w14:paraId="5553BD66">
            <w:pPr>
              <w:spacing w:line="240" w:lineRule="auto"/>
              <w:jc w:val="center"/>
              <w:rPr>
                <w:rFonts w:hint="default" w:ascii="Times New Roman" w:hAnsi="Times New Roman" w:cs="Times New Roman"/>
                <w:color w:val="auto"/>
                <w:sz w:val="18"/>
                <w:szCs w:val="18"/>
              </w:rPr>
            </w:pPr>
          </w:p>
        </w:tc>
        <w:tc>
          <w:tcPr>
            <w:tcW w:w="0" w:type="auto"/>
          </w:tcPr>
          <w:p w14:paraId="0895C813">
            <w:pPr>
              <w:spacing w:line="240" w:lineRule="auto"/>
              <w:jc w:val="center"/>
              <w:rPr>
                <w:rFonts w:hint="default" w:ascii="Times New Roman" w:hAnsi="Times New Roman" w:cs="Times New Roman"/>
                <w:color w:val="auto"/>
                <w:sz w:val="18"/>
                <w:szCs w:val="18"/>
              </w:rPr>
            </w:pPr>
          </w:p>
        </w:tc>
      </w:tr>
      <w:tr w14:paraId="3EDC59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Align w:val="center"/>
          </w:tcPr>
          <w:p w14:paraId="4BCD9C40">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4</w:t>
            </w:r>
          </w:p>
        </w:tc>
        <w:tc>
          <w:tcPr>
            <w:tcW w:w="0" w:type="auto"/>
            <w:vAlign w:val="center"/>
          </w:tcPr>
          <w:p w14:paraId="29F024E2">
            <w:pPr>
              <w:spacing w:line="240" w:lineRule="auto"/>
              <w:jc w:val="center"/>
              <w:rPr>
                <w:rFonts w:hint="default" w:ascii="Times New Roman" w:hAnsi="Times New Roman" w:cs="Times New Roman"/>
                <w:color w:val="auto"/>
                <w:sz w:val="18"/>
                <w:szCs w:val="18"/>
              </w:rPr>
            </w:pPr>
          </w:p>
        </w:tc>
        <w:tc>
          <w:tcPr>
            <w:tcW w:w="0" w:type="auto"/>
          </w:tcPr>
          <w:p w14:paraId="7CC3BF93">
            <w:pPr>
              <w:spacing w:line="240" w:lineRule="auto"/>
              <w:jc w:val="center"/>
              <w:rPr>
                <w:rFonts w:hint="default" w:ascii="Times New Roman" w:hAnsi="Times New Roman" w:cs="Times New Roman"/>
                <w:color w:val="auto"/>
                <w:sz w:val="18"/>
                <w:szCs w:val="18"/>
              </w:rPr>
            </w:pPr>
          </w:p>
        </w:tc>
        <w:tc>
          <w:tcPr>
            <w:tcW w:w="0" w:type="auto"/>
          </w:tcPr>
          <w:p w14:paraId="7C99638F">
            <w:pPr>
              <w:spacing w:line="240" w:lineRule="auto"/>
              <w:jc w:val="center"/>
              <w:rPr>
                <w:rFonts w:hint="default" w:ascii="Times New Roman" w:hAnsi="Times New Roman" w:cs="Times New Roman"/>
                <w:color w:val="auto"/>
                <w:sz w:val="18"/>
                <w:szCs w:val="18"/>
              </w:rPr>
            </w:pPr>
          </w:p>
        </w:tc>
        <w:tc>
          <w:tcPr>
            <w:tcW w:w="0" w:type="auto"/>
          </w:tcPr>
          <w:p w14:paraId="238D5A37">
            <w:pPr>
              <w:spacing w:line="240" w:lineRule="auto"/>
              <w:jc w:val="center"/>
              <w:rPr>
                <w:rFonts w:hint="default" w:ascii="Times New Roman" w:hAnsi="Times New Roman" w:cs="Times New Roman"/>
                <w:color w:val="auto"/>
                <w:sz w:val="18"/>
                <w:szCs w:val="18"/>
              </w:rPr>
            </w:pPr>
          </w:p>
        </w:tc>
        <w:tc>
          <w:tcPr>
            <w:tcW w:w="0" w:type="auto"/>
            <w:vAlign w:val="center"/>
          </w:tcPr>
          <w:p w14:paraId="00CAADCD">
            <w:pPr>
              <w:spacing w:line="240" w:lineRule="auto"/>
              <w:jc w:val="center"/>
              <w:rPr>
                <w:rFonts w:hint="default" w:ascii="Times New Roman" w:hAnsi="Times New Roman" w:cs="Times New Roman"/>
                <w:color w:val="auto"/>
                <w:sz w:val="18"/>
                <w:szCs w:val="18"/>
              </w:rPr>
            </w:pPr>
          </w:p>
        </w:tc>
        <w:tc>
          <w:tcPr>
            <w:tcW w:w="0" w:type="auto"/>
          </w:tcPr>
          <w:p w14:paraId="7A7A3F53">
            <w:pPr>
              <w:spacing w:line="240" w:lineRule="auto"/>
              <w:jc w:val="center"/>
              <w:rPr>
                <w:rFonts w:hint="default" w:ascii="Times New Roman" w:hAnsi="Times New Roman" w:cs="Times New Roman"/>
                <w:color w:val="auto"/>
                <w:sz w:val="18"/>
                <w:szCs w:val="18"/>
              </w:rPr>
            </w:pPr>
          </w:p>
        </w:tc>
      </w:tr>
      <w:tr w14:paraId="452E48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Align w:val="center"/>
          </w:tcPr>
          <w:p w14:paraId="26681C7C">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5</w:t>
            </w:r>
          </w:p>
        </w:tc>
        <w:tc>
          <w:tcPr>
            <w:tcW w:w="0" w:type="auto"/>
            <w:vAlign w:val="center"/>
          </w:tcPr>
          <w:p w14:paraId="03197919">
            <w:pPr>
              <w:spacing w:line="240" w:lineRule="auto"/>
              <w:jc w:val="center"/>
              <w:rPr>
                <w:rFonts w:hint="default" w:ascii="Times New Roman" w:hAnsi="Times New Roman" w:cs="Times New Roman"/>
                <w:color w:val="auto"/>
                <w:sz w:val="18"/>
                <w:szCs w:val="18"/>
              </w:rPr>
            </w:pPr>
          </w:p>
        </w:tc>
        <w:tc>
          <w:tcPr>
            <w:tcW w:w="0" w:type="auto"/>
          </w:tcPr>
          <w:p w14:paraId="03476277">
            <w:pPr>
              <w:spacing w:line="240" w:lineRule="auto"/>
              <w:jc w:val="center"/>
              <w:rPr>
                <w:rFonts w:hint="default" w:ascii="Times New Roman" w:hAnsi="Times New Roman" w:cs="Times New Roman"/>
                <w:color w:val="auto"/>
                <w:sz w:val="18"/>
                <w:szCs w:val="18"/>
              </w:rPr>
            </w:pPr>
          </w:p>
        </w:tc>
        <w:tc>
          <w:tcPr>
            <w:tcW w:w="0" w:type="auto"/>
          </w:tcPr>
          <w:p w14:paraId="6499336A">
            <w:pPr>
              <w:spacing w:line="240" w:lineRule="auto"/>
              <w:jc w:val="center"/>
              <w:rPr>
                <w:rFonts w:hint="default" w:ascii="Times New Roman" w:hAnsi="Times New Roman" w:cs="Times New Roman"/>
                <w:color w:val="auto"/>
                <w:sz w:val="18"/>
                <w:szCs w:val="18"/>
              </w:rPr>
            </w:pPr>
          </w:p>
        </w:tc>
        <w:tc>
          <w:tcPr>
            <w:tcW w:w="0" w:type="auto"/>
          </w:tcPr>
          <w:p w14:paraId="64566595">
            <w:pPr>
              <w:spacing w:line="240" w:lineRule="auto"/>
              <w:jc w:val="center"/>
              <w:rPr>
                <w:rFonts w:hint="default" w:ascii="Times New Roman" w:hAnsi="Times New Roman" w:cs="Times New Roman"/>
                <w:color w:val="auto"/>
                <w:sz w:val="18"/>
                <w:szCs w:val="18"/>
              </w:rPr>
            </w:pPr>
          </w:p>
        </w:tc>
        <w:tc>
          <w:tcPr>
            <w:tcW w:w="0" w:type="auto"/>
            <w:vAlign w:val="center"/>
          </w:tcPr>
          <w:p w14:paraId="6183F5E5">
            <w:pPr>
              <w:spacing w:line="240" w:lineRule="auto"/>
              <w:jc w:val="center"/>
              <w:rPr>
                <w:rFonts w:hint="default" w:ascii="Times New Roman" w:hAnsi="Times New Roman" w:cs="Times New Roman"/>
                <w:color w:val="auto"/>
                <w:sz w:val="18"/>
                <w:szCs w:val="18"/>
              </w:rPr>
            </w:pPr>
          </w:p>
        </w:tc>
        <w:tc>
          <w:tcPr>
            <w:tcW w:w="0" w:type="auto"/>
          </w:tcPr>
          <w:p w14:paraId="1E7D3A32">
            <w:pPr>
              <w:spacing w:line="240" w:lineRule="auto"/>
              <w:jc w:val="center"/>
              <w:rPr>
                <w:rFonts w:hint="default" w:ascii="Times New Roman" w:hAnsi="Times New Roman" w:cs="Times New Roman"/>
                <w:color w:val="auto"/>
                <w:sz w:val="18"/>
                <w:szCs w:val="18"/>
              </w:rPr>
            </w:pPr>
          </w:p>
        </w:tc>
      </w:tr>
      <w:tr w14:paraId="6B8F3E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Align w:val="center"/>
          </w:tcPr>
          <w:p w14:paraId="1B92347E">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6</w:t>
            </w:r>
          </w:p>
        </w:tc>
        <w:tc>
          <w:tcPr>
            <w:tcW w:w="0" w:type="auto"/>
            <w:vAlign w:val="center"/>
          </w:tcPr>
          <w:p w14:paraId="52F48E14">
            <w:pPr>
              <w:spacing w:line="240" w:lineRule="auto"/>
              <w:jc w:val="center"/>
              <w:rPr>
                <w:rFonts w:hint="default" w:ascii="Times New Roman" w:hAnsi="Times New Roman" w:cs="Times New Roman"/>
                <w:color w:val="auto"/>
                <w:sz w:val="18"/>
                <w:szCs w:val="18"/>
              </w:rPr>
            </w:pPr>
          </w:p>
        </w:tc>
        <w:tc>
          <w:tcPr>
            <w:tcW w:w="0" w:type="auto"/>
          </w:tcPr>
          <w:p w14:paraId="0AFB79F9">
            <w:pPr>
              <w:spacing w:line="240" w:lineRule="auto"/>
              <w:jc w:val="center"/>
              <w:rPr>
                <w:rFonts w:hint="default" w:ascii="Times New Roman" w:hAnsi="Times New Roman" w:cs="Times New Roman"/>
                <w:color w:val="auto"/>
                <w:sz w:val="18"/>
                <w:szCs w:val="18"/>
              </w:rPr>
            </w:pPr>
          </w:p>
        </w:tc>
        <w:tc>
          <w:tcPr>
            <w:tcW w:w="0" w:type="auto"/>
          </w:tcPr>
          <w:p w14:paraId="6C82FDBA">
            <w:pPr>
              <w:spacing w:line="240" w:lineRule="auto"/>
              <w:jc w:val="center"/>
              <w:rPr>
                <w:rFonts w:hint="default" w:ascii="Times New Roman" w:hAnsi="Times New Roman" w:cs="Times New Roman"/>
                <w:color w:val="auto"/>
                <w:sz w:val="18"/>
                <w:szCs w:val="18"/>
              </w:rPr>
            </w:pPr>
          </w:p>
        </w:tc>
        <w:tc>
          <w:tcPr>
            <w:tcW w:w="0" w:type="auto"/>
          </w:tcPr>
          <w:p w14:paraId="784CB237">
            <w:pPr>
              <w:spacing w:line="240" w:lineRule="auto"/>
              <w:jc w:val="center"/>
              <w:rPr>
                <w:rFonts w:hint="default" w:ascii="Times New Roman" w:hAnsi="Times New Roman" w:cs="Times New Roman"/>
                <w:color w:val="auto"/>
                <w:sz w:val="18"/>
                <w:szCs w:val="18"/>
              </w:rPr>
            </w:pPr>
          </w:p>
        </w:tc>
        <w:tc>
          <w:tcPr>
            <w:tcW w:w="0" w:type="auto"/>
            <w:vAlign w:val="center"/>
          </w:tcPr>
          <w:p w14:paraId="315DECAE">
            <w:pPr>
              <w:spacing w:line="240" w:lineRule="auto"/>
              <w:jc w:val="center"/>
              <w:rPr>
                <w:rFonts w:hint="default" w:ascii="Times New Roman" w:hAnsi="Times New Roman" w:cs="Times New Roman"/>
                <w:color w:val="auto"/>
                <w:sz w:val="18"/>
                <w:szCs w:val="18"/>
              </w:rPr>
            </w:pPr>
          </w:p>
        </w:tc>
        <w:tc>
          <w:tcPr>
            <w:tcW w:w="0" w:type="auto"/>
          </w:tcPr>
          <w:p w14:paraId="7B4D9D0F">
            <w:pPr>
              <w:spacing w:line="240" w:lineRule="auto"/>
              <w:jc w:val="center"/>
              <w:rPr>
                <w:rFonts w:hint="default" w:ascii="Times New Roman" w:hAnsi="Times New Roman" w:cs="Times New Roman"/>
                <w:color w:val="auto"/>
                <w:sz w:val="18"/>
                <w:szCs w:val="18"/>
              </w:rPr>
            </w:pPr>
          </w:p>
        </w:tc>
      </w:tr>
      <w:tr w14:paraId="503992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Align w:val="center"/>
          </w:tcPr>
          <w:p w14:paraId="714DB2B9">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w:t>
            </w:r>
          </w:p>
        </w:tc>
        <w:tc>
          <w:tcPr>
            <w:tcW w:w="0" w:type="auto"/>
            <w:vAlign w:val="center"/>
          </w:tcPr>
          <w:p w14:paraId="4CCE503A">
            <w:pPr>
              <w:spacing w:line="240" w:lineRule="auto"/>
              <w:jc w:val="center"/>
              <w:rPr>
                <w:rFonts w:hint="default" w:ascii="Times New Roman" w:hAnsi="Times New Roman" w:cs="Times New Roman"/>
                <w:color w:val="auto"/>
                <w:sz w:val="18"/>
                <w:szCs w:val="18"/>
              </w:rPr>
            </w:pPr>
          </w:p>
        </w:tc>
        <w:tc>
          <w:tcPr>
            <w:tcW w:w="0" w:type="auto"/>
          </w:tcPr>
          <w:p w14:paraId="21E8A600">
            <w:pPr>
              <w:spacing w:line="240" w:lineRule="auto"/>
              <w:jc w:val="center"/>
              <w:rPr>
                <w:rFonts w:hint="default" w:ascii="Times New Roman" w:hAnsi="Times New Roman" w:cs="Times New Roman"/>
                <w:color w:val="auto"/>
                <w:sz w:val="18"/>
                <w:szCs w:val="18"/>
              </w:rPr>
            </w:pPr>
          </w:p>
        </w:tc>
        <w:tc>
          <w:tcPr>
            <w:tcW w:w="0" w:type="auto"/>
          </w:tcPr>
          <w:p w14:paraId="75351B2C">
            <w:pPr>
              <w:spacing w:line="240" w:lineRule="auto"/>
              <w:jc w:val="center"/>
              <w:rPr>
                <w:rFonts w:hint="default" w:ascii="Times New Roman" w:hAnsi="Times New Roman" w:cs="Times New Roman"/>
                <w:color w:val="auto"/>
                <w:sz w:val="18"/>
                <w:szCs w:val="18"/>
              </w:rPr>
            </w:pPr>
          </w:p>
        </w:tc>
        <w:tc>
          <w:tcPr>
            <w:tcW w:w="0" w:type="auto"/>
          </w:tcPr>
          <w:p w14:paraId="11606AA3">
            <w:pPr>
              <w:spacing w:line="240" w:lineRule="auto"/>
              <w:jc w:val="center"/>
              <w:rPr>
                <w:rFonts w:hint="default" w:ascii="Times New Roman" w:hAnsi="Times New Roman" w:cs="Times New Roman"/>
                <w:color w:val="auto"/>
                <w:sz w:val="18"/>
                <w:szCs w:val="18"/>
              </w:rPr>
            </w:pPr>
          </w:p>
        </w:tc>
        <w:tc>
          <w:tcPr>
            <w:tcW w:w="0" w:type="auto"/>
            <w:vAlign w:val="center"/>
          </w:tcPr>
          <w:p w14:paraId="3AE7A83C">
            <w:pPr>
              <w:spacing w:line="240" w:lineRule="auto"/>
              <w:jc w:val="center"/>
              <w:rPr>
                <w:rFonts w:hint="default" w:ascii="Times New Roman" w:hAnsi="Times New Roman" w:cs="Times New Roman"/>
                <w:color w:val="auto"/>
                <w:sz w:val="18"/>
                <w:szCs w:val="18"/>
              </w:rPr>
            </w:pPr>
          </w:p>
        </w:tc>
        <w:tc>
          <w:tcPr>
            <w:tcW w:w="0" w:type="auto"/>
          </w:tcPr>
          <w:p w14:paraId="642DE867">
            <w:pPr>
              <w:spacing w:line="240" w:lineRule="auto"/>
              <w:jc w:val="center"/>
              <w:rPr>
                <w:rFonts w:hint="default" w:ascii="Times New Roman" w:hAnsi="Times New Roman" w:cs="Times New Roman"/>
                <w:color w:val="auto"/>
                <w:sz w:val="18"/>
                <w:szCs w:val="18"/>
              </w:rPr>
            </w:pPr>
          </w:p>
        </w:tc>
      </w:tr>
    </w:tbl>
    <w:p w14:paraId="4BBFE010">
      <w:pPr>
        <w:rPr>
          <w:rFonts w:hint="default" w:ascii="Times New Roman" w:hAnsi="Times New Roman" w:eastAsia="黑体" w:cs="Times New Roman"/>
          <w:color w:val="auto"/>
          <w:szCs w:val="28"/>
        </w:rPr>
      </w:pPr>
      <w:r>
        <w:rPr>
          <w:rFonts w:hint="default" w:ascii="Times New Roman" w:hAnsi="Times New Roman" w:eastAsia="黑体" w:cs="Times New Roman"/>
          <w:color w:val="auto"/>
          <w:szCs w:val="28"/>
        </w:rPr>
        <w:t>2.</w:t>
      </w:r>
      <w:r>
        <w:rPr>
          <w:rFonts w:hint="eastAsia" w:eastAsia="黑体" w:cs="Times New Roman"/>
          <w:color w:val="auto"/>
          <w:szCs w:val="28"/>
          <w:lang w:eastAsia="zh-CN"/>
        </w:rPr>
        <w:t>排放因子</w:t>
      </w:r>
      <w:r>
        <w:rPr>
          <w:rFonts w:hint="default" w:ascii="Times New Roman" w:hAnsi="Times New Roman" w:eastAsia="黑体" w:cs="Times New Roman"/>
          <w:color w:val="auto"/>
          <w:szCs w:val="28"/>
        </w:rPr>
        <w:t>数据汇总</w:t>
      </w:r>
    </w:p>
    <w:tbl>
      <w:tblPr>
        <w:tblStyle w:val="2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76"/>
        <w:gridCol w:w="936"/>
        <w:gridCol w:w="936"/>
        <w:gridCol w:w="1116"/>
        <w:gridCol w:w="936"/>
      </w:tblGrid>
      <w:tr w14:paraId="5D4F13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Align w:val="center"/>
          </w:tcPr>
          <w:p w14:paraId="1B039983">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序号</w:t>
            </w:r>
          </w:p>
        </w:tc>
        <w:tc>
          <w:tcPr>
            <w:tcW w:w="0" w:type="auto"/>
            <w:vAlign w:val="center"/>
          </w:tcPr>
          <w:p w14:paraId="7424E5F1">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碳排放源</w:t>
            </w:r>
          </w:p>
        </w:tc>
        <w:tc>
          <w:tcPr>
            <w:tcW w:w="0" w:type="auto"/>
            <w:vAlign w:val="center"/>
          </w:tcPr>
          <w:p w14:paraId="469646F6">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碳氧化率</w:t>
            </w:r>
          </w:p>
        </w:tc>
        <w:tc>
          <w:tcPr>
            <w:tcW w:w="1116" w:type="dxa"/>
            <w:vAlign w:val="center"/>
          </w:tcPr>
          <w:p w14:paraId="0E2D2150">
            <w:pPr>
              <w:spacing w:line="240" w:lineRule="auto"/>
              <w:jc w:val="center"/>
              <w:rPr>
                <w:rFonts w:hint="eastAsia" w:ascii="Times New Roman" w:hAnsi="Times New Roman" w:eastAsia="宋体" w:cs="Times New Roman"/>
                <w:color w:val="auto"/>
                <w:sz w:val="18"/>
                <w:szCs w:val="18"/>
                <w:lang w:eastAsia="zh-CN"/>
              </w:rPr>
            </w:pPr>
            <w:r>
              <w:rPr>
                <w:rFonts w:hint="eastAsia" w:cs="Times New Roman"/>
                <w:color w:val="auto"/>
                <w:sz w:val="18"/>
                <w:szCs w:val="18"/>
                <w:lang w:eastAsia="zh-CN"/>
              </w:rPr>
              <w:t>排放因子</w:t>
            </w:r>
          </w:p>
        </w:tc>
        <w:tc>
          <w:tcPr>
            <w:tcW w:w="936" w:type="dxa"/>
            <w:vAlign w:val="center"/>
          </w:tcPr>
          <w:p w14:paraId="7463BAA6">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不确定度</w:t>
            </w:r>
          </w:p>
        </w:tc>
      </w:tr>
      <w:tr w14:paraId="569275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Align w:val="center"/>
          </w:tcPr>
          <w:p w14:paraId="3D9F22A7">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1</w:t>
            </w:r>
          </w:p>
        </w:tc>
        <w:tc>
          <w:tcPr>
            <w:tcW w:w="0" w:type="auto"/>
            <w:vAlign w:val="center"/>
          </w:tcPr>
          <w:p w14:paraId="1D0125D4">
            <w:pPr>
              <w:spacing w:line="240" w:lineRule="auto"/>
              <w:jc w:val="center"/>
              <w:rPr>
                <w:rFonts w:hint="default" w:ascii="Times New Roman" w:hAnsi="Times New Roman" w:cs="Times New Roman"/>
                <w:color w:val="auto"/>
                <w:sz w:val="18"/>
                <w:szCs w:val="18"/>
              </w:rPr>
            </w:pPr>
          </w:p>
        </w:tc>
        <w:tc>
          <w:tcPr>
            <w:tcW w:w="0" w:type="auto"/>
          </w:tcPr>
          <w:p w14:paraId="50150297">
            <w:pPr>
              <w:spacing w:line="240" w:lineRule="auto"/>
              <w:jc w:val="center"/>
              <w:rPr>
                <w:rFonts w:hint="default" w:ascii="Times New Roman" w:hAnsi="Times New Roman" w:cs="Times New Roman"/>
                <w:color w:val="auto"/>
                <w:sz w:val="18"/>
                <w:szCs w:val="18"/>
              </w:rPr>
            </w:pPr>
          </w:p>
        </w:tc>
        <w:tc>
          <w:tcPr>
            <w:tcW w:w="1116" w:type="dxa"/>
          </w:tcPr>
          <w:p w14:paraId="51114D1F">
            <w:pPr>
              <w:spacing w:line="240" w:lineRule="auto"/>
              <w:jc w:val="center"/>
              <w:rPr>
                <w:rFonts w:hint="default" w:ascii="Times New Roman" w:hAnsi="Times New Roman" w:cs="Times New Roman"/>
                <w:color w:val="auto"/>
                <w:sz w:val="18"/>
                <w:szCs w:val="18"/>
              </w:rPr>
            </w:pPr>
          </w:p>
        </w:tc>
        <w:tc>
          <w:tcPr>
            <w:tcW w:w="936" w:type="dxa"/>
            <w:vAlign w:val="center"/>
          </w:tcPr>
          <w:p w14:paraId="1FC8782E">
            <w:pPr>
              <w:spacing w:line="240" w:lineRule="auto"/>
              <w:jc w:val="center"/>
              <w:rPr>
                <w:rFonts w:hint="default" w:ascii="Times New Roman" w:hAnsi="Times New Roman" w:cs="Times New Roman"/>
                <w:color w:val="auto"/>
                <w:sz w:val="18"/>
                <w:szCs w:val="18"/>
              </w:rPr>
            </w:pPr>
          </w:p>
        </w:tc>
      </w:tr>
      <w:tr w14:paraId="64CA35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Align w:val="center"/>
          </w:tcPr>
          <w:p w14:paraId="4BA6344F">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2</w:t>
            </w:r>
          </w:p>
        </w:tc>
        <w:tc>
          <w:tcPr>
            <w:tcW w:w="0" w:type="auto"/>
            <w:vAlign w:val="center"/>
          </w:tcPr>
          <w:p w14:paraId="4231A94B">
            <w:pPr>
              <w:spacing w:line="240" w:lineRule="auto"/>
              <w:jc w:val="center"/>
              <w:rPr>
                <w:rFonts w:hint="default" w:ascii="Times New Roman" w:hAnsi="Times New Roman" w:cs="Times New Roman"/>
                <w:color w:val="auto"/>
                <w:sz w:val="18"/>
                <w:szCs w:val="18"/>
              </w:rPr>
            </w:pPr>
          </w:p>
        </w:tc>
        <w:tc>
          <w:tcPr>
            <w:tcW w:w="0" w:type="auto"/>
          </w:tcPr>
          <w:p w14:paraId="06387FFC">
            <w:pPr>
              <w:spacing w:line="240" w:lineRule="auto"/>
              <w:jc w:val="center"/>
              <w:rPr>
                <w:rFonts w:hint="default" w:ascii="Times New Roman" w:hAnsi="Times New Roman" w:cs="Times New Roman"/>
                <w:color w:val="auto"/>
                <w:sz w:val="18"/>
                <w:szCs w:val="18"/>
              </w:rPr>
            </w:pPr>
          </w:p>
        </w:tc>
        <w:tc>
          <w:tcPr>
            <w:tcW w:w="1116" w:type="dxa"/>
          </w:tcPr>
          <w:p w14:paraId="4092A2F0">
            <w:pPr>
              <w:spacing w:line="240" w:lineRule="auto"/>
              <w:jc w:val="center"/>
              <w:rPr>
                <w:rFonts w:hint="default" w:ascii="Times New Roman" w:hAnsi="Times New Roman" w:cs="Times New Roman"/>
                <w:color w:val="auto"/>
                <w:sz w:val="18"/>
                <w:szCs w:val="18"/>
              </w:rPr>
            </w:pPr>
          </w:p>
        </w:tc>
        <w:tc>
          <w:tcPr>
            <w:tcW w:w="936" w:type="dxa"/>
            <w:vAlign w:val="center"/>
          </w:tcPr>
          <w:p w14:paraId="5481BA76">
            <w:pPr>
              <w:spacing w:line="240" w:lineRule="auto"/>
              <w:jc w:val="center"/>
              <w:rPr>
                <w:rFonts w:hint="default" w:ascii="Times New Roman" w:hAnsi="Times New Roman" w:cs="Times New Roman"/>
                <w:color w:val="auto"/>
                <w:sz w:val="18"/>
                <w:szCs w:val="18"/>
              </w:rPr>
            </w:pPr>
          </w:p>
        </w:tc>
      </w:tr>
      <w:tr w14:paraId="776689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Align w:val="center"/>
          </w:tcPr>
          <w:p w14:paraId="3C809482">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3</w:t>
            </w:r>
          </w:p>
        </w:tc>
        <w:tc>
          <w:tcPr>
            <w:tcW w:w="0" w:type="auto"/>
            <w:vAlign w:val="center"/>
          </w:tcPr>
          <w:p w14:paraId="2BCE0E6D">
            <w:pPr>
              <w:spacing w:line="240" w:lineRule="auto"/>
              <w:jc w:val="center"/>
              <w:rPr>
                <w:rFonts w:hint="default" w:ascii="Times New Roman" w:hAnsi="Times New Roman" w:cs="Times New Roman"/>
                <w:color w:val="auto"/>
                <w:sz w:val="18"/>
                <w:szCs w:val="18"/>
              </w:rPr>
            </w:pPr>
          </w:p>
        </w:tc>
        <w:tc>
          <w:tcPr>
            <w:tcW w:w="0" w:type="auto"/>
          </w:tcPr>
          <w:p w14:paraId="1B0C4537">
            <w:pPr>
              <w:spacing w:line="240" w:lineRule="auto"/>
              <w:jc w:val="center"/>
              <w:rPr>
                <w:rFonts w:hint="default" w:ascii="Times New Roman" w:hAnsi="Times New Roman" w:cs="Times New Roman"/>
                <w:color w:val="auto"/>
                <w:sz w:val="18"/>
                <w:szCs w:val="18"/>
              </w:rPr>
            </w:pPr>
          </w:p>
        </w:tc>
        <w:tc>
          <w:tcPr>
            <w:tcW w:w="1116" w:type="dxa"/>
          </w:tcPr>
          <w:p w14:paraId="40C80BBF">
            <w:pPr>
              <w:spacing w:line="240" w:lineRule="auto"/>
              <w:jc w:val="center"/>
              <w:rPr>
                <w:rFonts w:hint="default" w:ascii="Times New Roman" w:hAnsi="Times New Roman" w:cs="Times New Roman"/>
                <w:color w:val="auto"/>
                <w:sz w:val="18"/>
                <w:szCs w:val="18"/>
              </w:rPr>
            </w:pPr>
          </w:p>
        </w:tc>
        <w:tc>
          <w:tcPr>
            <w:tcW w:w="936" w:type="dxa"/>
            <w:vAlign w:val="center"/>
          </w:tcPr>
          <w:p w14:paraId="55778423">
            <w:pPr>
              <w:spacing w:line="240" w:lineRule="auto"/>
              <w:jc w:val="center"/>
              <w:rPr>
                <w:rFonts w:hint="default" w:ascii="Times New Roman" w:hAnsi="Times New Roman" w:cs="Times New Roman"/>
                <w:color w:val="auto"/>
                <w:sz w:val="18"/>
                <w:szCs w:val="18"/>
              </w:rPr>
            </w:pPr>
          </w:p>
        </w:tc>
      </w:tr>
      <w:tr w14:paraId="26BEBB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Align w:val="center"/>
          </w:tcPr>
          <w:p w14:paraId="33A3B4F9">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4</w:t>
            </w:r>
          </w:p>
        </w:tc>
        <w:tc>
          <w:tcPr>
            <w:tcW w:w="0" w:type="auto"/>
            <w:vAlign w:val="center"/>
          </w:tcPr>
          <w:p w14:paraId="2A628FCC">
            <w:pPr>
              <w:spacing w:line="240" w:lineRule="auto"/>
              <w:jc w:val="center"/>
              <w:rPr>
                <w:rFonts w:hint="default" w:ascii="Times New Roman" w:hAnsi="Times New Roman" w:cs="Times New Roman"/>
                <w:color w:val="auto"/>
                <w:sz w:val="18"/>
                <w:szCs w:val="18"/>
              </w:rPr>
            </w:pPr>
          </w:p>
        </w:tc>
        <w:tc>
          <w:tcPr>
            <w:tcW w:w="0" w:type="auto"/>
          </w:tcPr>
          <w:p w14:paraId="223348B2">
            <w:pPr>
              <w:spacing w:line="240" w:lineRule="auto"/>
              <w:jc w:val="center"/>
              <w:rPr>
                <w:rFonts w:hint="default" w:ascii="Times New Roman" w:hAnsi="Times New Roman" w:cs="Times New Roman"/>
                <w:color w:val="auto"/>
                <w:sz w:val="18"/>
                <w:szCs w:val="18"/>
              </w:rPr>
            </w:pPr>
          </w:p>
        </w:tc>
        <w:tc>
          <w:tcPr>
            <w:tcW w:w="1116" w:type="dxa"/>
          </w:tcPr>
          <w:p w14:paraId="2478A85C">
            <w:pPr>
              <w:spacing w:line="240" w:lineRule="auto"/>
              <w:jc w:val="center"/>
              <w:rPr>
                <w:rFonts w:hint="default" w:ascii="Times New Roman" w:hAnsi="Times New Roman" w:cs="Times New Roman"/>
                <w:color w:val="auto"/>
                <w:sz w:val="18"/>
                <w:szCs w:val="18"/>
              </w:rPr>
            </w:pPr>
          </w:p>
        </w:tc>
        <w:tc>
          <w:tcPr>
            <w:tcW w:w="936" w:type="dxa"/>
            <w:vAlign w:val="center"/>
          </w:tcPr>
          <w:p w14:paraId="43DFA724">
            <w:pPr>
              <w:spacing w:line="240" w:lineRule="auto"/>
              <w:jc w:val="center"/>
              <w:rPr>
                <w:rFonts w:hint="default" w:ascii="Times New Roman" w:hAnsi="Times New Roman" w:cs="Times New Roman"/>
                <w:color w:val="auto"/>
                <w:sz w:val="18"/>
                <w:szCs w:val="18"/>
              </w:rPr>
            </w:pPr>
          </w:p>
        </w:tc>
      </w:tr>
      <w:tr w14:paraId="2BAA0D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Align w:val="center"/>
          </w:tcPr>
          <w:p w14:paraId="7E2BB0E7">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5</w:t>
            </w:r>
          </w:p>
        </w:tc>
        <w:tc>
          <w:tcPr>
            <w:tcW w:w="0" w:type="auto"/>
            <w:vAlign w:val="center"/>
          </w:tcPr>
          <w:p w14:paraId="6D2E8FD7">
            <w:pPr>
              <w:spacing w:line="240" w:lineRule="auto"/>
              <w:jc w:val="center"/>
              <w:rPr>
                <w:rFonts w:hint="default" w:ascii="Times New Roman" w:hAnsi="Times New Roman" w:cs="Times New Roman"/>
                <w:color w:val="auto"/>
                <w:sz w:val="18"/>
                <w:szCs w:val="18"/>
              </w:rPr>
            </w:pPr>
          </w:p>
        </w:tc>
        <w:tc>
          <w:tcPr>
            <w:tcW w:w="0" w:type="auto"/>
          </w:tcPr>
          <w:p w14:paraId="2E512A1C">
            <w:pPr>
              <w:spacing w:line="240" w:lineRule="auto"/>
              <w:jc w:val="center"/>
              <w:rPr>
                <w:rFonts w:hint="default" w:ascii="Times New Roman" w:hAnsi="Times New Roman" w:cs="Times New Roman"/>
                <w:color w:val="auto"/>
                <w:sz w:val="18"/>
                <w:szCs w:val="18"/>
              </w:rPr>
            </w:pPr>
          </w:p>
        </w:tc>
        <w:tc>
          <w:tcPr>
            <w:tcW w:w="1116" w:type="dxa"/>
          </w:tcPr>
          <w:p w14:paraId="7AC94983">
            <w:pPr>
              <w:spacing w:line="240" w:lineRule="auto"/>
              <w:jc w:val="center"/>
              <w:rPr>
                <w:rFonts w:hint="default" w:ascii="Times New Roman" w:hAnsi="Times New Roman" w:cs="Times New Roman"/>
                <w:color w:val="auto"/>
                <w:sz w:val="18"/>
                <w:szCs w:val="18"/>
              </w:rPr>
            </w:pPr>
          </w:p>
        </w:tc>
        <w:tc>
          <w:tcPr>
            <w:tcW w:w="936" w:type="dxa"/>
            <w:vAlign w:val="center"/>
          </w:tcPr>
          <w:p w14:paraId="17162286">
            <w:pPr>
              <w:spacing w:line="240" w:lineRule="auto"/>
              <w:jc w:val="center"/>
              <w:rPr>
                <w:rFonts w:hint="default" w:ascii="Times New Roman" w:hAnsi="Times New Roman" w:cs="Times New Roman"/>
                <w:color w:val="auto"/>
                <w:sz w:val="18"/>
                <w:szCs w:val="18"/>
              </w:rPr>
            </w:pPr>
          </w:p>
        </w:tc>
      </w:tr>
      <w:tr w14:paraId="45BA1D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Align w:val="center"/>
          </w:tcPr>
          <w:p w14:paraId="35CA8DCA">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w:t>
            </w:r>
          </w:p>
        </w:tc>
        <w:tc>
          <w:tcPr>
            <w:tcW w:w="0" w:type="auto"/>
            <w:vAlign w:val="center"/>
          </w:tcPr>
          <w:p w14:paraId="36AE53CD">
            <w:pPr>
              <w:spacing w:line="240" w:lineRule="auto"/>
              <w:jc w:val="center"/>
              <w:rPr>
                <w:rFonts w:hint="default" w:ascii="Times New Roman" w:hAnsi="Times New Roman" w:cs="Times New Roman"/>
                <w:color w:val="auto"/>
                <w:sz w:val="18"/>
                <w:szCs w:val="18"/>
              </w:rPr>
            </w:pPr>
          </w:p>
        </w:tc>
        <w:tc>
          <w:tcPr>
            <w:tcW w:w="0" w:type="auto"/>
          </w:tcPr>
          <w:p w14:paraId="58D1BC02">
            <w:pPr>
              <w:spacing w:line="240" w:lineRule="auto"/>
              <w:jc w:val="center"/>
              <w:rPr>
                <w:rFonts w:hint="default" w:ascii="Times New Roman" w:hAnsi="Times New Roman" w:cs="Times New Roman"/>
                <w:color w:val="auto"/>
                <w:sz w:val="18"/>
                <w:szCs w:val="18"/>
              </w:rPr>
            </w:pPr>
          </w:p>
        </w:tc>
        <w:tc>
          <w:tcPr>
            <w:tcW w:w="1116" w:type="dxa"/>
          </w:tcPr>
          <w:p w14:paraId="01267F15">
            <w:pPr>
              <w:spacing w:line="240" w:lineRule="auto"/>
              <w:jc w:val="center"/>
              <w:rPr>
                <w:rFonts w:hint="default" w:ascii="Times New Roman" w:hAnsi="Times New Roman" w:cs="Times New Roman"/>
                <w:color w:val="auto"/>
                <w:sz w:val="18"/>
                <w:szCs w:val="18"/>
              </w:rPr>
            </w:pPr>
          </w:p>
        </w:tc>
        <w:tc>
          <w:tcPr>
            <w:tcW w:w="936" w:type="dxa"/>
            <w:vAlign w:val="center"/>
          </w:tcPr>
          <w:p w14:paraId="3CE600C0">
            <w:pPr>
              <w:spacing w:line="240" w:lineRule="auto"/>
              <w:jc w:val="center"/>
              <w:rPr>
                <w:rFonts w:hint="default" w:ascii="Times New Roman" w:hAnsi="Times New Roman" w:cs="Times New Roman"/>
                <w:color w:val="auto"/>
                <w:sz w:val="18"/>
                <w:szCs w:val="18"/>
              </w:rPr>
            </w:pPr>
          </w:p>
        </w:tc>
      </w:tr>
    </w:tbl>
    <w:p w14:paraId="101478EA">
      <w:pPr>
        <w:rPr>
          <w:rFonts w:hint="default" w:ascii="Times New Roman" w:hAnsi="Times New Roman" w:eastAsia="黑体" w:cs="Times New Roman"/>
          <w:color w:val="auto"/>
          <w:szCs w:val="28"/>
        </w:rPr>
      </w:pPr>
      <w:r>
        <w:rPr>
          <w:rFonts w:hint="default" w:ascii="Times New Roman" w:hAnsi="Times New Roman" w:eastAsia="黑体" w:cs="Times New Roman"/>
          <w:color w:val="auto"/>
          <w:szCs w:val="28"/>
        </w:rPr>
        <w:t>四、碳排放数据</w:t>
      </w:r>
    </w:p>
    <w:tbl>
      <w:tblPr>
        <w:tblStyle w:val="2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836"/>
        <w:gridCol w:w="1296"/>
        <w:gridCol w:w="661"/>
        <w:gridCol w:w="1340"/>
        <w:gridCol w:w="936"/>
      </w:tblGrid>
      <w:tr w14:paraId="36E30F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Align w:val="center"/>
          </w:tcPr>
          <w:p w14:paraId="7C6F6FE3">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排放活动</w:t>
            </w:r>
          </w:p>
        </w:tc>
        <w:tc>
          <w:tcPr>
            <w:tcW w:w="0" w:type="auto"/>
          </w:tcPr>
          <w:p w14:paraId="3099A4FB">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lang w:eastAsia="zh-CN"/>
              </w:rPr>
              <w:t>构件</w:t>
            </w:r>
            <w:r>
              <w:rPr>
                <w:rFonts w:hint="eastAsia" w:cs="Times New Roman"/>
                <w:color w:val="auto"/>
                <w:sz w:val="18"/>
                <w:szCs w:val="18"/>
                <w:lang w:eastAsia="zh-CN"/>
              </w:rPr>
              <w:t>源流</w:t>
            </w:r>
            <w:r>
              <w:rPr>
                <w:rFonts w:hint="default" w:ascii="Times New Roman" w:hAnsi="Times New Roman" w:cs="Times New Roman"/>
                <w:color w:val="auto"/>
                <w:sz w:val="18"/>
                <w:szCs w:val="18"/>
              </w:rPr>
              <w:t>类型</w:t>
            </w:r>
          </w:p>
        </w:tc>
        <w:tc>
          <w:tcPr>
            <w:tcW w:w="0" w:type="auto"/>
          </w:tcPr>
          <w:p w14:paraId="0F780C71">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编码</w:t>
            </w:r>
          </w:p>
        </w:tc>
        <w:tc>
          <w:tcPr>
            <w:tcW w:w="0" w:type="auto"/>
            <w:vAlign w:val="center"/>
          </w:tcPr>
          <w:p w14:paraId="15F50265">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碳排放量tCO</w:t>
            </w:r>
            <w:r>
              <w:rPr>
                <w:rFonts w:hint="default" w:ascii="Times New Roman" w:hAnsi="Times New Roman" w:cs="Times New Roman"/>
                <w:color w:val="auto"/>
                <w:sz w:val="18"/>
                <w:szCs w:val="18"/>
                <w:vertAlign w:val="subscript"/>
              </w:rPr>
              <w:t>2</w:t>
            </w:r>
          </w:p>
        </w:tc>
        <w:tc>
          <w:tcPr>
            <w:tcW w:w="0" w:type="auto"/>
          </w:tcPr>
          <w:p w14:paraId="7369A4C5">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不确定度</w:t>
            </w:r>
          </w:p>
        </w:tc>
      </w:tr>
      <w:tr w14:paraId="16A6FA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Merge w:val="restart"/>
            <w:vAlign w:val="center"/>
          </w:tcPr>
          <w:p w14:paraId="3FDF3DA5">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化石能源消耗排放</w:t>
            </w:r>
          </w:p>
        </w:tc>
        <w:tc>
          <w:tcPr>
            <w:tcW w:w="0" w:type="auto"/>
          </w:tcPr>
          <w:p w14:paraId="686D28C5">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煤炭燃烧</w:t>
            </w:r>
          </w:p>
        </w:tc>
        <w:tc>
          <w:tcPr>
            <w:tcW w:w="0" w:type="auto"/>
          </w:tcPr>
          <w:p w14:paraId="180DD030">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D01.1</w:t>
            </w:r>
          </w:p>
        </w:tc>
        <w:tc>
          <w:tcPr>
            <w:tcW w:w="0" w:type="auto"/>
            <w:vAlign w:val="center"/>
          </w:tcPr>
          <w:p w14:paraId="1E8A2E2A">
            <w:pPr>
              <w:spacing w:line="240" w:lineRule="auto"/>
              <w:jc w:val="center"/>
              <w:rPr>
                <w:rFonts w:hint="default" w:ascii="Times New Roman" w:hAnsi="Times New Roman" w:cs="Times New Roman"/>
                <w:color w:val="auto"/>
                <w:sz w:val="18"/>
                <w:szCs w:val="18"/>
              </w:rPr>
            </w:pPr>
          </w:p>
        </w:tc>
        <w:tc>
          <w:tcPr>
            <w:tcW w:w="0" w:type="auto"/>
          </w:tcPr>
          <w:p w14:paraId="3619CBAA">
            <w:pPr>
              <w:spacing w:line="240" w:lineRule="auto"/>
              <w:jc w:val="center"/>
              <w:rPr>
                <w:rFonts w:hint="default" w:ascii="Times New Roman" w:hAnsi="Times New Roman" w:cs="Times New Roman"/>
                <w:color w:val="auto"/>
                <w:sz w:val="18"/>
                <w:szCs w:val="18"/>
              </w:rPr>
            </w:pPr>
          </w:p>
        </w:tc>
      </w:tr>
      <w:tr w14:paraId="5D1D9C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Merge w:val="continue"/>
            <w:vAlign w:val="center"/>
          </w:tcPr>
          <w:p w14:paraId="1EE0D307">
            <w:pPr>
              <w:spacing w:line="240" w:lineRule="auto"/>
              <w:jc w:val="center"/>
              <w:rPr>
                <w:rFonts w:hint="default" w:ascii="Times New Roman" w:hAnsi="Times New Roman" w:cs="Times New Roman"/>
                <w:color w:val="auto"/>
                <w:sz w:val="18"/>
                <w:szCs w:val="18"/>
              </w:rPr>
            </w:pPr>
          </w:p>
        </w:tc>
        <w:tc>
          <w:tcPr>
            <w:tcW w:w="0" w:type="auto"/>
          </w:tcPr>
          <w:p w14:paraId="32723473">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天然气消耗</w:t>
            </w:r>
          </w:p>
        </w:tc>
        <w:tc>
          <w:tcPr>
            <w:tcW w:w="0" w:type="auto"/>
          </w:tcPr>
          <w:p w14:paraId="2C6D5261">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D01.2</w:t>
            </w:r>
          </w:p>
        </w:tc>
        <w:tc>
          <w:tcPr>
            <w:tcW w:w="0" w:type="auto"/>
            <w:vAlign w:val="center"/>
          </w:tcPr>
          <w:p w14:paraId="2BA81DDF">
            <w:pPr>
              <w:spacing w:line="240" w:lineRule="auto"/>
              <w:jc w:val="center"/>
              <w:rPr>
                <w:rFonts w:hint="default" w:ascii="Times New Roman" w:hAnsi="Times New Roman" w:cs="Times New Roman"/>
                <w:color w:val="auto"/>
                <w:sz w:val="18"/>
                <w:szCs w:val="18"/>
              </w:rPr>
            </w:pPr>
          </w:p>
        </w:tc>
        <w:tc>
          <w:tcPr>
            <w:tcW w:w="0" w:type="auto"/>
          </w:tcPr>
          <w:p w14:paraId="6B8EB75F">
            <w:pPr>
              <w:spacing w:line="240" w:lineRule="auto"/>
              <w:jc w:val="center"/>
              <w:rPr>
                <w:rFonts w:hint="default" w:ascii="Times New Roman" w:hAnsi="Times New Roman" w:cs="Times New Roman"/>
                <w:color w:val="auto"/>
                <w:sz w:val="18"/>
                <w:szCs w:val="18"/>
              </w:rPr>
            </w:pPr>
          </w:p>
        </w:tc>
      </w:tr>
      <w:tr w14:paraId="70A05F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Align w:val="center"/>
          </w:tcPr>
          <w:p w14:paraId="541007FD">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非能源介质过程排放</w:t>
            </w:r>
          </w:p>
        </w:tc>
        <w:tc>
          <w:tcPr>
            <w:tcW w:w="0" w:type="auto"/>
          </w:tcPr>
          <w:p w14:paraId="24A0AFAD">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制冷剂</w:t>
            </w:r>
          </w:p>
        </w:tc>
        <w:tc>
          <w:tcPr>
            <w:tcW w:w="0" w:type="auto"/>
          </w:tcPr>
          <w:p w14:paraId="45098401">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D02.1</w:t>
            </w:r>
          </w:p>
        </w:tc>
        <w:tc>
          <w:tcPr>
            <w:tcW w:w="0" w:type="auto"/>
            <w:vAlign w:val="center"/>
          </w:tcPr>
          <w:p w14:paraId="2F38C2F0">
            <w:pPr>
              <w:spacing w:line="240" w:lineRule="auto"/>
              <w:jc w:val="center"/>
              <w:rPr>
                <w:rFonts w:hint="default" w:ascii="Times New Roman" w:hAnsi="Times New Roman" w:cs="Times New Roman"/>
                <w:color w:val="auto"/>
                <w:sz w:val="18"/>
                <w:szCs w:val="18"/>
              </w:rPr>
            </w:pPr>
          </w:p>
        </w:tc>
        <w:tc>
          <w:tcPr>
            <w:tcW w:w="0" w:type="auto"/>
          </w:tcPr>
          <w:p w14:paraId="2F9B372C">
            <w:pPr>
              <w:spacing w:line="240" w:lineRule="auto"/>
              <w:jc w:val="center"/>
              <w:rPr>
                <w:rFonts w:hint="default" w:ascii="Times New Roman" w:hAnsi="Times New Roman" w:cs="Times New Roman"/>
                <w:color w:val="auto"/>
                <w:sz w:val="18"/>
                <w:szCs w:val="18"/>
              </w:rPr>
            </w:pPr>
          </w:p>
        </w:tc>
      </w:tr>
      <w:tr w14:paraId="1C47FB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Merge w:val="restart"/>
            <w:vAlign w:val="center"/>
          </w:tcPr>
          <w:p w14:paraId="537C0358">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特殊物质过程排放</w:t>
            </w:r>
          </w:p>
        </w:tc>
        <w:tc>
          <w:tcPr>
            <w:tcW w:w="0" w:type="auto"/>
          </w:tcPr>
          <w:p w14:paraId="2A2C3295">
            <w:pPr>
              <w:spacing w:line="240" w:lineRule="auto"/>
              <w:jc w:val="center"/>
              <w:rPr>
                <w:rFonts w:hint="eastAsia" w:ascii="Times New Roman" w:hAnsi="Times New Roman" w:eastAsia="宋体" w:cs="Times New Roman"/>
                <w:color w:val="auto"/>
                <w:sz w:val="18"/>
                <w:szCs w:val="18"/>
                <w:lang w:eastAsia="zh-CN"/>
              </w:rPr>
            </w:pPr>
            <w:r>
              <w:rPr>
                <w:rFonts w:hint="eastAsia" w:cs="Times New Roman"/>
                <w:color w:val="auto"/>
                <w:sz w:val="18"/>
                <w:szCs w:val="18"/>
                <w:lang w:val="en-US" w:eastAsia="zh-CN"/>
              </w:rPr>
              <w:t>绝缘气体</w:t>
            </w:r>
          </w:p>
        </w:tc>
        <w:tc>
          <w:tcPr>
            <w:tcW w:w="0" w:type="auto"/>
          </w:tcPr>
          <w:p w14:paraId="1501F1D2">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D03.1</w:t>
            </w:r>
          </w:p>
        </w:tc>
        <w:tc>
          <w:tcPr>
            <w:tcW w:w="0" w:type="auto"/>
            <w:vAlign w:val="center"/>
          </w:tcPr>
          <w:p w14:paraId="251B2300">
            <w:pPr>
              <w:spacing w:line="240" w:lineRule="auto"/>
              <w:jc w:val="center"/>
              <w:rPr>
                <w:rFonts w:hint="default" w:ascii="Times New Roman" w:hAnsi="Times New Roman" w:cs="Times New Roman"/>
                <w:color w:val="auto"/>
                <w:sz w:val="18"/>
                <w:szCs w:val="18"/>
              </w:rPr>
            </w:pPr>
          </w:p>
        </w:tc>
        <w:tc>
          <w:tcPr>
            <w:tcW w:w="0" w:type="auto"/>
          </w:tcPr>
          <w:p w14:paraId="1D1A7D5C">
            <w:pPr>
              <w:spacing w:line="240" w:lineRule="auto"/>
              <w:jc w:val="center"/>
              <w:rPr>
                <w:rFonts w:hint="default" w:ascii="Times New Roman" w:hAnsi="Times New Roman" w:cs="Times New Roman"/>
                <w:color w:val="auto"/>
                <w:sz w:val="18"/>
                <w:szCs w:val="18"/>
              </w:rPr>
            </w:pPr>
          </w:p>
        </w:tc>
      </w:tr>
      <w:tr w14:paraId="4B5AE0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Merge w:val="continue"/>
            <w:vAlign w:val="center"/>
          </w:tcPr>
          <w:p w14:paraId="1084751D">
            <w:pPr>
              <w:spacing w:line="240" w:lineRule="auto"/>
              <w:jc w:val="center"/>
              <w:rPr>
                <w:rFonts w:hint="default" w:ascii="Times New Roman" w:hAnsi="Times New Roman" w:cs="Times New Roman"/>
                <w:color w:val="auto"/>
                <w:sz w:val="18"/>
                <w:szCs w:val="18"/>
              </w:rPr>
            </w:pPr>
          </w:p>
        </w:tc>
        <w:tc>
          <w:tcPr>
            <w:tcW w:w="0" w:type="auto"/>
          </w:tcPr>
          <w:p w14:paraId="3875F719">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含碳物质</w:t>
            </w:r>
          </w:p>
        </w:tc>
        <w:tc>
          <w:tcPr>
            <w:tcW w:w="0" w:type="auto"/>
          </w:tcPr>
          <w:p w14:paraId="494F57BB">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D03.2</w:t>
            </w:r>
          </w:p>
        </w:tc>
        <w:tc>
          <w:tcPr>
            <w:tcW w:w="0" w:type="auto"/>
            <w:vAlign w:val="center"/>
          </w:tcPr>
          <w:p w14:paraId="2BB9B516">
            <w:pPr>
              <w:spacing w:line="240" w:lineRule="auto"/>
              <w:jc w:val="center"/>
              <w:rPr>
                <w:rFonts w:hint="default" w:ascii="Times New Roman" w:hAnsi="Times New Roman" w:cs="Times New Roman"/>
                <w:color w:val="auto"/>
                <w:sz w:val="18"/>
                <w:szCs w:val="18"/>
              </w:rPr>
            </w:pPr>
          </w:p>
        </w:tc>
        <w:tc>
          <w:tcPr>
            <w:tcW w:w="0" w:type="auto"/>
          </w:tcPr>
          <w:p w14:paraId="0E64C80A">
            <w:pPr>
              <w:spacing w:line="240" w:lineRule="auto"/>
              <w:jc w:val="center"/>
              <w:rPr>
                <w:rFonts w:hint="default" w:ascii="Times New Roman" w:hAnsi="Times New Roman" w:cs="Times New Roman"/>
                <w:color w:val="auto"/>
                <w:sz w:val="18"/>
                <w:szCs w:val="18"/>
              </w:rPr>
            </w:pPr>
          </w:p>
        </w:tc>
      </w:tr>
      <w:tr w14:paraId="094F33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Merge w:val="restart"/>
            <w:vAlign w:val="center"/>
          </w:tcPr>
          <w:p w14:paraId="4CDD7E31">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净购入能源排放</w:t>
            </w:r>
          </w:p>
        </w:tc>
        <w:tc>
          <w:tcPr>
            <w:tcW w:w="0" w:type="auto"/>
          </w:tcPr>
          <w:p w14:paraId="56532EFD">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净购入电力</w:t>
            </w:r>
          </w:p>
        </w:tc>
        <w:tc>
          <w:tcPr>
            <w:tcW w:w="0" w:type="auto"/>
          </w:tcPr>
          <w:p w14:paraId="466842E8">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I11</w:t>
            </w:r>
          </w:p>
        </w:tc>
        <w:tc>
          <w:tcPr>
            <w:tcW w:w="0" w:type="auto"/>
            <w:vAlign w:val="center"/>
          </w:tcPr>
          <w:p w14:paraId="1D96CD62">
            <w:pPr>
              <w:spacing w:line="240" w:lineRule="auto"/>
              <w:jc w:val="center"/>
              <w:rPr>
                <w:rFonts w:hint="default" w:ascii="Times New Roman" w:hAnsi="Times New Roman" w:cs="Times New Roman"/>
                <w:color w:val="auto"/>
                <w:sz w:val="18"/>
                <w:szCs w:val="18"/>
              </w:rPr>
            </w:pPr>
          </w:p>
        </w:tc>
        <w:tc>
          <w:tcPr>
            <w:tcW w:w="0" w:type="auto"/>
          </w:tcPr>
          <w:p w14:paraId="3D51E1C6">
            <w:pPr>
              <w:spacing w:line="240" w:lineRule="auto"/>
              <w:jc w:val="center"/>
              <w:rPr>
                <w:rFonts w:hint="default" w:ascii="Times New Roman" w:hAnsi="Times New Roman" w:cs="Times New Roman"/>
                <w:color w:val="auto"/>
                <w:sz w:val="18"/>
                <w:szCs w:val="18"/>
              </w:rPr>
            </w:pPr>
          </w:p>
        </w:tc>
      </w:tr>
      <w:tr w14:paraId="3ABF45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Merge w:val="continue"/>
            <w:vAlign w:val="center"/>
          </w:tcPr>
          <w:p w14:paraId="3E688C45">
            <w:pPr>
              <w:spacing w:line="240" w:lineRule="auto"/>
              <w:jc w:val="center"/>
              <w:rPr>
                <w:rFonts w:hint="default" w:ascii="Times New Roman" w:hAnsi="Times New Roman" w:cs="Times New Roman"/>
                <w:color w:val="auto"/>
                <w:sz w:val="18"/>
                <w:szCs w:val="18"/>
              </w:rPr>
            </w:pPr>
          </w:p>
        </w:tc>
        <w:tc>
          <w:tcPr>
            <w:tcW w:w="0" w:type="auto"/>
          </w:tcPr>
          <w:p w14:paraId="07AF0DFA">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净购入热力</w:t>
            </w:r>
          </w:p>
        </w:tc>
        <w:tc>
          <w:tcPr>
            <w:tcW w:w="0" w:type="auto"/>
          </w:tcPr>
          <w:p w14:paraId="09E68044">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I12</w:t>
            </w:r>
          </w:p>
        </w:tc>
        <w:tc>
          <w:tcPr>
            <w:tcW w:w="0" w:type="auto"/>
            <w:vAlign w:val="center"/>
          </w:tcPr>
          <w:p w14:paraId="7C2ED1EF">
            <w:pPr>
              <w:spacing w:line="240" w:lineRule="auto"/>
              <w:jc w:val="center"/>
              <w:rPr>
                <w:rFonts w:hint="default" w:ascii="Times New Roman" w:hAnsi="Times New Roman" w:cs="Times New Roman"/>
                <w:color w:val="auto"/>
                <w:sz w:val="18"/>
                <w:szCs w:val="18"/>
              </w:rPr>
            </w:pPr>
          </w:p>
        </w:tc>
        <w:tc>
          <w:tcPr>
            <w:tcW w:w="0" w:type="auto"/>
          </w:tcPr>
          <w:p w14:paraId="2B38BD34">
            <w:pPr>
              <w:spacing w:line="240" w:lineRule="auto"/>
              <w:jc w:val="center"/>
              <w:rPr>
                <w:rFonts w:hint="default" w:ascii="Times New Roman" w:hAnsi="Times New Roman" w:cs="Times New Roman"/>
                <w:color w:val="auto"/>
                <w:sz w:val="18"/>
                <w:szCs w:val="18"/>
              </w:rPr>
            </w:pPr>
          </w:p>
        </w:tc>
      </w:tr>
      <w:tr w14:paraId="5A814F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Align w:val="center"/>
          </w:tcPr>
          <w:p w14:paraId="56DF5E92">
            <w:pPr>
              <w:spacing w:line="240" w:lineRule="auto"/>
              <w:jc w:val="center"/>
              <w:rPr>
                <w:rFonts w:hint="default" w:ascii="Times New Roman" w:hAnsi="Times New Roman" w:cs="Times New Roman"/>
                <w:color w:val="auto"/>
                <w:sz w:val="18"/>
                <w:szCs w:val="18"/>
              </w:rPr>
            </w:pPr>
            <w:r>
              <w:rPr>
                <w:rFonts w:hint="default" w:ascii="Times New Roman" w:hAnsi="Times New Roman" w:cs="Times New Roman"/>
                <w:color w:val="auto"/>
                <w:sz w:val="18"/>
                <w:szCs w:val="18"/>
              </w:rPr>
              <w:t>……</w:t>
            </w:r>
          </w:p>
        </w:tc>
        <w:tc>
          <w:tcPr>
            <w:tcW w:w="0" w:type="auto"/>
          </w:tcPr>
          <w:p w14:paraId="682FD9EA">
            <w:pPr>
              <w:spacing w:line="240" w:lineRule="auto"/>
              <w:jc w:val="center"/>
              <w:rPr>
                <w:rFonts w:hint="default" w:ascii="Times New Roman" w:hAnsi="Times New Roman" w:cs="Times New Roman"/>
                <w:color w:val="auto"/>
                <w:sz w:val="18"/>
                <w:szCs w:val="18"/>
              </w:rPr>
            </w:pPr>
          </w:p>
        </w:tc>
        <w:tc>
          <w:tcPr>
            <w:tcW w:w="0" w:type="auto"/>
          </w:tcPr>
          <w:p w14:paraId="4CEA7109">
            <w:pPr>
              <w:spacing w:line="240" w:lineRule="auto"/>
              <w:jc w:val="center"/>
              <w:rPr>
                <w:rFonts w:hint="default" w:ascii="Times New Roman" w:hAnsi="Times New Roman" w:cs="Times New Roman"/>
                <w:color w:val="auto"/>
                <w:sz w:val="18"/>
                <w:szCs w:val="18"/>
              </w:rPr>
            </w:pPr>
          </w:p>
        </w:tc>
        <w:tc>
          <w:tcPr>
            <w:tcW w:w="0" w:type="auto"/>
            <w:vAlign w:val="center"/>
          </w:tcPr>
          <w:p w14:paraId="0282053C">
            <w:pPr>
              <w:spacing w:line="240" w:lineRule="auto"/>
              <w:jc w:val="center"/>
              <w:rPr>
                <w:rFonts w:hint="default" w:ascii="Times New Roman" w:hAnsi="Times New Roman" w:cs="Times New Roman"/>
                <w:color w:val="auto"/>
                <w:sz w:val="18"/>
                <w:szCs w:val="18"/>
              </w:rPr>
            </w:pPr>
          </w:p>
        </w:tc>
        <w:tc>
          <w:tcPr>
            <w:tcW w:w="0" w:type="auto"/>
          </w:tcPr>
          <w:p w14:paraId="510F7ED3">
            <w:pPr>
              <w:spacing w:line="240" w:lineRule="auto"/>
              <w:jc w:val="center"/>
              <w:rPr>
                <w:rFonts w:hint="default" w:ascii="Times New Roman" w:hAnsi="Times New Roman" w:cs="Times New Roman"/>
                <w:color w:val="auto"/>
                <w:sz w:val="18"/>
                <w:szCs w:val="18"/>
              </w:rPr>
            </w:pPr>
          </w:p>
        </w:tc>
      </w:tr>
    </w:tbl>
    <w:p w14:paraId="6DDD0253">
      <w:pPr>
        <w:rPr>
          <w:rFonts w:hint="default" w:ascii="Times New Roman" w:hAnsi="Times New Roman" w:eastAsia="黑体" w:cs="Times New Roman"/>
          <w:color w:val="auto"/>
          <w:szCs w:val="28"/>
        </w:rPr>
      </w:pPr>
      <w:r>
        <w:rPr>
          <w:rFonts w:hint="default" w:ascii="Times New Roman" w:hAnsi="Times New Roman" w:eastAsia="黑体" w:cs="Times New Roman"/>
          <w:color w:val="auto"/>
          <w:szCs w:val="28"/>
        </w:rPr>
        <w:t>五、结果</w:t>
      </w:r>
    </w:p>
    <w:p w14:paraId="52AF0B09">
      <w:pPr>
        <w:ind w:firstLine="480" w:firstLineChars="200"/>
        <w:rPr>
          <w:rFonts w:hint="default" w:ascii="Times New Roman" w:hAnsi="Times New Roman" w:cs="Times New Roman"/>
          <w:color w:val="auto"/>
          <w:szCs w:val="28"/>
        </w:rPr>
      </w:pPr>
      <w:bookmarkStart w:id="120" w:name="_Hlk148706857"/>
      <w:r>
        <w:rPr>
          <w:rFonts w:hint="default" w:ascii="Times New Roman" w:hAnsi="Times New Roman" w:cs="Times New Roman"/>
          <w:color w:val="auto"/>
          <w:szCs w:val="28"/>
        </w:rPr>
        <w:t>本批次</w:t>
      </w:r>
      <w:r>
        <w:rPr>
          <w:rFonts w:hint="eastAsia" w:cs="Times New Roman"/>
          <w:color w:val="auto"/>
          <w:szCs w:val="28"/>
          <w:lang w:eastAsia="zh-CN"/>
        </w:rPr>
        <w:t>装配式建筑物化阶段</w:t>
      </w:r>
      <w:r>
        <w:rPr>
          <w:rFonts w:hint="default" w:ascii="Times New Roman" w:hAnsi="Times New Roman" w:cs="Times New Roman"/>
          <w:color w:val="auto"/>
          <w:szCs w:val="28"/>
        </w:rPr>
        <w:t>碳排放量及不确定度：</w:t>
      </w:r>
    </w:p>
    <w:p w14:paraId="20472CDE">
      <w:pPr>
        <w:ind w:firstLine="480" w:firstLineChars="200"/>
        <w:rPr>
          <w:rFonts w:hint="default" w:ascii="Times New Roman" w:hAnsi="Times New Roman" w:cs="Times New Roman"/>
          <w:color w:val="auto"/>
          <w:szCs w:val="28"/>
        </w:rPr>
      </w:pPr>
      <w:r>
        <w:rPr>
          <w:rFonts w:hint="default" w:ascii="Times New Roman" w:hAnsi="Times New Roman" w:cs="Times New Roman"/>
          <w:color w:val="auto"/>
          <w:szCs w:val="28"/>
        </w:rPr>
        <w:t>（注明所用</w:t>
      </w:r>
      <w:r>
        <w:rPr>
          <w:rFonts w:hint="eastAsia" w:cs="Times New Roman"/>
          <w:color w:val="auto"/>
          <w:szCs w:val="28"/>
          <w:lang w:eastAsia="zh-CN"/>
        </w:rPr>
        <w:t>排放因子</w:t>
      </w:r>
      <w:r>
        <w:rPr>
          <w:rFonts w:hint="default" w:ascii="Times New Roman" w:hAnsi="Times New Roman" w:cs="Times New Roman"/>
          <w:color w:val="auto"/>
          <w:szCs w:val="28"/>
        </w:rPr>
        <w:t>为实测值或采信值）</w:t>
      </w:r>
    </w:p>
    <w:p w14:paraId="6590F6E5">
      <w:pPr>
        <w:ind w:firstLine="480" w:firstLineChars="200"/>
        <w:rPr>
          <w:rFonts w:hint="default" w:ascii="Times New Roman" w:hAnsi="Times New Roman" w:cs="Times New Roman"/>
          <w:color w:val="auto"/>
          <w:szCs w:val="28"/>
        </w:rPr>
      </w:pPr>
      <w:r>
        <w:rPr>
          <w:rFonts w:hint="eastAsia" w:cs="Times New Roman"/>
          <w:color w:val="auto"/>
          <w:szCs w:val="28"/>
          <w:lang w:eastAsia="zh-CN"/>
        </w:rPr>
        <w:t>装配式建筑物化阶段</w:t>
      </w:r>
      <w:r>
        <w:rPr>
          <w:rFonts w:hint="default" w:ascii="Times New Roman" w:hAnsi="Times New Roman" w:cs="Times New Roman"/>
          <w:color w:val="auto"/>
          <w:szCs w:val="28"/>
        </w:rPr>
        <w:t>碳标识：</w:t>
      </w:r>
    </w:p>
    <w:p w14:paraId="055C9C84">
      <w:pPr>
        <w:ind w:firstLine="480" w:firstLineChars="200"/>
        <w:rPr>
          <w:rFonts w:hint="default" w:ascii="Times New Roman" w:hAnsi="Times New Roman" w:cs="Times New Roman"/>
          <w:color w:val="auto"/>
          <w:szCs w:val="28"/>
        </w:rPr>
      </w:pPr>
    </w:p>
    <w:p w14:paraId="4CED27F4">
      <w:pPr>
        <w:ind w:firstLine="480" w:firstLineChars="200"/>
        <w:rPr>
          <w:rFonts w:hint="default" w:ascii="Times New Roman" w:hAnsi="Times New Roman" w:cs="Times New Roman"/>
          <w:color w:val="auto"/>
          <w:szCs w:val="28"/>
        </w:rPr>
      </w:pPr>
    </w:p>
    <w:p w14:paraId="412297BA">
      <w:pPr>
        <w:ind w:firstLine="480" w:firstLineChars="200"/>
        <w:rPr>
          <w:rFonts w:hint="default" w:ascii="Times New Roman" w:hAnsi="Times New Roman" w:cs="Times New Roman"/>
          <w:color w:val="auto"/>
          <w:szCs w:val="28"/>
        </w:rPr>
      </w:pPr>
    </w:p>
    <w:p w14:paraId="67239D79">
      <w:pPr>
        <w:ind w:firstLine="480" w:firstLineChars="200"/>
        <w:rPr>
          <w:rFonts w:hint="default" w:ascii="Times New Roman" w:hAnsi="Times New Roman" w:cs="Times New Roman"/>
          <w:color w:val="auto"/>
          <w:szCs w:val="28"/>
        </w:rPr>
      </w:pPr>
    </w:p>
    <w:p w14:paraId="5C5D222B">
      <w:pPr>
        <w:ind w:firstLine="480" w:firstLineChars="200"/>
        <w:rPr>
          <w:rFonts w:hint="default" w:ascii="Times New Roman" w:hAnsi="Times New Roman" w:cs="Times New Roman"/>
          <w:color w:val="auto"/>
          <w:szCs w:val="28"/>
        </w:rPr>
      </w:pPr>
    </w:p>
    <w:p w14:paraId="7BF4A515">
      <w:pPr>
        <w:ind w:firstLine="480" w:firstLineChars="200"/>
        <w:rPr>
          <w:rFonts w:hint="default" w:ascii="Times New Roman" w:hAnsi="Times New Roman" w:cs="Times New Roman"/>
          <w:color w:val="auto"/>
          <w:szCs w:val="28"/>
        </w:rPr>
      </w:pPr>
    </w:p>
    <w:p w14:paraId="736E122F">
      <w:pPr>
        <w:ind w:firstLine="480" w:firstLineChars="200"/>
        <w:rPr>
          <w:rFonts w:hint="default" w:ascii="Times New Roman" w:hAnsi="Times New Roman" w:cs="Times New Roman"/>
          <w:color w:val="auto"/>
          <w:szCs w:val="28"/>
        </w:rPr>
      </w:pPr>
    </w:p>
    <w:p w14:paraId="60BC8324">
      <w:pPr>
        <w:ind w:firstLine="480" w:firstLineChars="200"/>
        <w:rPr>
          <w:rFonts w:hint="default" w:ascii="Times New Roman" w:hAnsi="Times New Roman" w:cs="Times New Roman"/>
          <w:color w:val="auto"/>
          <w:szCs w:val="28"/>
        </w:rPr>
      </w:pPr>
    </w:p>
    <w:p w14:paraId="3AFFF5D6">
      <w:pPr>
        <w:ind w:firstLine="1680" w:firstLineChars="700"/>
        <w:rPr>
          <w:rFonts w:hint="default" w:ascii="Times New Roman" w:hAnsi="Times New Roman" w:eastAsia="黑体" w:cs="Times New Roman"/>
          <w:color w:val="auto"/>
          <w:szCs w:val="28"/>
        </w:rPr>
      </w:pPr>
      <w:r>
        <w:rPr>
          <w:rFonts w:hint="default" w:ascii="Times New Roman" w:hAnsi="Times New Roman" w:eastAsia="黑体" w:cs="Times New Roman"/>
          <w:color w:val="auto"/>
          <w:szCs w:val="28"/>
        </w:rPr>
        <w:t xml:space="preserve">                                                      </w:t>
      </w:r>
      <w:r>
        <w:rPr>
          <w:rFonts w:hint="eastAsia" w:eastAsia="黑体" w:cs="Times New Roman"/>
          <w:color w:val="auto"/>
          <w:szCs w:val="28"/>
          <w:lang w:val="en-US" w:eastAsia="zh-CN"/>
        </w:rPr>
        <w:t xml:space="preserve"> </w:t>
      </w:r>
      <w:r>
        <w:rPr>
          <w:rFonts w:hint="default" w:ascii="Times New Roman" w:hAnsi="Times New Roman" w:eastAsia="黑体" w:cs="Times New Roman"/>
          <w:color w:val="auto"/>
          <w:szCs w:val="28"/>
        </w:rPr>
        <w:t xml:space="preserve">  </w:t>
      </w:r>
      <w:r>
        <w:rPr>
          <w:rFonts w:hint="eastAsia" w:eastAsia="黑体" w:cs="Times New Roman"/>
          <w:color w:val="auto"/>
          <w:szCs w:val="28"/>
          <w:lang w:val="en-US" w:eastAsia="zh-CN"/>
        </w:rPr>
        <w:t>计量</w:t>
      </w:r>
      <w:r>
        <w:rPr>
          <w:rFonts w:hint="default" w:ascii="Times New Roman" w:hAnsi="Times New Roman" w:eastAsia="黑体" w:cs="Times New Roman"/>
          <w:color w:val="auto"/>
          <w:szCs w:val="28"/>
        </w:rPr>
        <w:t>人员：</w:t>
      </w:r>
    </w:p>
    <w:p w14:paraId="0886F2F4">
      <w:pPr>
        <w:jc w:val="center"/>
        <w:rPr>
          <w:rFonts w:hint="default" w:ascii="Times New Roman" w:hAnsi="Times New Roman" w:eastAsia="黑体" w:cs="Times New Roman"/>
          <w:color w:val="auto"/>
          <w:szCs w:val="28"/>
        </w:rPr>
      </w:pPr>
      <w:r>
        <w:rPr>
          <w:rFonts w:hint="eastAsia" w:eastAsia="黑体" w:cs="Times New Roman"/>
          <w:color w:val="auto"/>
          <w:szCs w:val="28"/>
          <w:lang w:val="en-US" w:eastAsia="zh-CN"/>
        </w:rPr>
        <w:t>报告专用章</w:t>
      </w:r>
      <w:r>
        <w:rPr>
          <w:rFonts w:hint="default" w:ascii="Times New Roman" w:hAnsi="Times New Roman" w:eastAsia="黑体" w:cs="Times New Roman"/>
          <w:color w:val="auto"/>
          <w:szCs w:val="28"/>
        </w:rPr>
        <w:t xml:space="preserve">：    </w:t>
      </w:r>
      <w:r>
        <w:rPr>
          <w:rFonts w:hint="eastAsia" w:eastAsia="黑体" w:cs="Times New Roman"/>
          <w:color w:val="auto"/>
          <w:szCs w:val="28"/>
          <w:lang w:val="en-US" w:eastAsia="zh-CN"/>
        </w:rPr>
        <w:t xml:space="preserve">            </w:t>
      </w:r>
      <w:r>
        <w:rPr>
          <w:rFonts w:hint="default" w:ascii="Times New Roman" w:hAnsi="Times New Roman" w:eastAsia="黑体" w:cs="Times New Roman"/>
          <w:color w:val="auto"/>
          <w:szCs w:val="28"/>
        </w:rPr>
        <w:t xml:space="preserve">           </w:t>
      </w:r>
      <w:r>
        <w:rPr>
          <w:rFonts w:hint="eastAsia" w:eastAsia="黑体" w:cs="Times New Roman"/>
          <w:color w:val="auto"/>
          <w:szCs w:val="28"/>
          <w:lang w:val="en-US" w:eastAsia="zh-CN"/>
        </w:rPr>
        <w:t>校审</w:t>
      </w:r>
      <w:r>
        <w:rPr>
          <w:rFonts w:hint="default" w:ascii="Times New Roman" w:hAnsi="Times New Roman" w:eastAsia="黑体" w:cs="Times New Roman"/>
          <w:color w:val="auto"/>
          <w:szCs w:val="28"/>
        </w:rPr>
        <w:t>人员：</w:t>
      </w:r>
    </w:p>
    <w:p w14:paraId="3C2336CF">
      <w:pPr>
        <w:jc w:val="center"/>
        <w:rPr>
          <w:rFonts w:hint="default" w:ascii="Times New Roman" w:hAnsi="Times New Roman" w:eastAsia="黑体" w:cs="Times New Roman"/>
          <w:color w:val="auto"/>
          <w:szCs w:val="28"/>
        </w:rPr>
      </w:pPr>
      <w:r>
        <w:rPr>
          <w:rFonts w:hint="default" w:ascii="Times New Roman" w:hAnsi="Times New Roman" w:eastAsia="黑体" w:cs="Times New Roman"/>
          <w:color w:val="auto"/>
          <w:szCs w:val="28"/>
        </w:rPr>
        <w:t xml:space="preserve">                                                   </w:t>
      </w:r>
      <w:r>
        <w:rPr>
          <w:rFonts w:hint="eastAsia" w:eastAsia="黑体" w:cs="Times New Roman"/>
          <w:color w:val="auto"/>
          <w:szCs w:val="28"/>
          <w:lang w:val="en-US" w:eastAsia="zh-CN"/>
        </w:rPr>
        <w:t>审定</w:t>
      </w:r>
      <w:r>
        <w:rPr>
          <w:rFonts w:hint="default" w:ascii="Times New Roman" w:hAnsi="Times New Roman" w:eastAsia="黑体" w:cs="Times New Roman"/>
          <w:color w:val="auto"/>
          <w:szCs w:val="28"/>
        </w:rPr>
        <w:t>人员：</w:t>
      </w:r>
    </w:p>
    <w:p w14:paraId="15DE45E4">
      <w:pPr>
        <w:widowControl/>
        <w:spacing w:line="240" w:lineRule="auto"/>
        <w:jc w:val="left"/>
        <w:rPr>
          <w:rFonts w:hint="default" w:ascii="Times New Roman" w:hAnsi="Times New Roman" w:eastAsia="黑体" w:cs="Times New Roman"/>
          <w:color w:val="auto"/>
          <w:szCs w:val="28"/>
        </w:rPr>
        <w:sectPr>
          <w:pgSz w:w="11906" w:h="16838"/>
          <w:pgMar w:top="1440" w:right="1800" w:bottom="1440" w:left="1800" w:header="851" w:footer="992" w:gutter="0"/>
          <w:cols w:space="425" w:num="1"/>
          <w:docGrid w:type="lines" w:linePitch="312" w:charSpace="0"/>
        </w:sectPr>
      </w:pPr>
      <w:r>
        <w:rPr>
          <w:rFonts w:hint="default" w:ascii="Times New Roman" w:hAnsi="Times New Roman" w:eastAsia="黑体" w:cs="Times New Roman"/>
          <w:color w:val="auto"/>
          <w:szCs w:val="28"/>
        </w:rPr>
        <w:br w:type="page"/>
      </w:r>
    </w:p>
    <w:bookmarkEnd w:id="120"/>
    <w:p w14:paraId="7CC9E3BE">
      <w:pPr>
        <w:pStyle w:val="3"/>
        <w:jc w:val="left"/>
        <w:rPr>
          <w:rFonts w:hint="default" w:ascii="Times New Roman" w:hAnsi="Times New Roman" w:cs="Times New Roman"/>
          <w:bCs w:val="0"/>
          <w:color w:val="auto"/>
          <w:szCs w:val="24"/>
        </w:rPr>
      </w:pPr>
      <w:bookmarkStart w:id="121" w:name="_Toc3827"/>
      <w:bookmarkStart w:id="122" w:name="_Toc23779"/>
      <w:bookmarkStart w:id="123" w:name="_Toc20398"/>
      <w:bookmarkStart w:id="124" w:name="_Toc14159"/>
      <w:r>
        <w:rPr>
          <w:rFonts w:hint="default" w:ascii="Times New Roman" w:hAnsi="Times New Roman" w:cs="Times New Roman"/>
          <w:bCs w:val="0"/>
          <w:color w:val="auto"/>
          <w:szCs w:val="24"/>
        </w:rPr>
        <w:t>附录D</w:t>
      </w:r>
      <w:bookmarkEnd w:id="121"/>
      <w:bookmarkEnd w:id="122"/>
      <w:bookmarkEnd w:id="123"/>
      <w:bookmarkEnd w:id="124"/>
      <w:r>
        <w:rPr>
          <w:rFonts w:hint="default" w:ascii="Times New Roman" w:hAnsi="Times New Roman" w:cs="Times New Roman"/>
          <w:bCs w:val="0"/>
          <w:color w:val="auto"/>
          <w:szCs w:val="24"/>
        </w:rPr>
        <w:t xml:space="preserve"> </w:t>
      </w:r>
    </w:p>
    <w:p w14:paraId="59CBA842">
      <w:pPr>
        <w:spacing w:line="360" w:lineRule="auto"/>
        <w:jc w:val="center"/>
        <w:rPr>
          <w:rFonts w:ascii="Times New Roman" w:hAnsi="Times New Roman" w:eastAsia="宋体" w:cs="Times New Roman"/>
          <w:sz w:val="24"/>
          <w:szCs w:val="28"/>
        </w:rPr>
      </w:pPr>
      <w:bookmarkStart w:id="125" w:name="_Hlk146527099"/>
      <w:bookmarkStart w:id="126" w:name="_Hlk143421500"/>
      <w:r>
        <w:rPr>
          <w:rFonts w:hint="eastAsia" w:ascii="黑体" w:hAnsi="黑体" w:eastAsia="黑体"/>
          <w:sz w:val="24"/>
          <w:szCs w:val="24"/>
        </w:rPr>
        <w:t>不确定度分析</w:t>
      </w:r>
      <w:bookmarkEnd w:id="125"/>
    </w:p>
    <w:bookmarkEnd w:id="126"/>
    <w:p w14:paraId="7502D027">
      <w:pPr>
        <w:spacing w:line="360" w:lineRule="auto"/>
        <w:ind w:firstLine="480" w:firstLineChars="200"/>
        <w:rPr>
          <w:rFonts w:ascii="Times New Roman" w:hAnsi="Times New Roman" w:eastAsia="宋体" w:cs="Times New Roman"/>
          <w:sz w:val="24"/>
          <w:szCs w:val="28"/>
        </w:rPr>
      </w:pPr>
      <w:r>
        <w:rPr>
          <w:rFonts w:hint="eastAsia" w:cs="Times New Roman"/>
          <w:sz w:val="24"/>
          <w:szCs w:val="28"/>
          <w:lang w:val="en-US" w:eastAsia="zh-CN"/>
        </w:rPr>
        <w:t>装配式建筑物化阶段</w:t>
      </w:r>
      <w:r>
        <w:rPr>
          <w:rFonts w:hint="eastAsia" w:ascii="Times New Roman" w:hAnsi="Times New Roman" w:eastAsia="宋体" w:cs="Times New Roman"/>
          <w:sz w:val="24"/>
          <w:szCs w:val="28"/>
        </w:rPr>
        <w:t>应按</w:t>
      </w:r>
      <w:r>
        <w:rPr>
          <w:rFonts w:ascii="Times New Roman" w:hAnsi="Times New Roman" w:eastAsia="宋体" w:cs="Times New Roman"/>
          <w:sz w:val="24"/>
          <w:szCs w:val="28"/>
        </w:rPr>
        <w:t>JJF 1059.1要求对</w:t>
      </w:r>
      <w:r>
        <w:rPr>
          <w:rFonts w:hint="eastAsia" w:ascii="Times New Roman" w:hAnsi="Times New Roman" w:eastAsia="宋体" w:cs="Times New Roman"/>
          <w:sz w:val="24"/>
          <w:szCs w:val="28"/>
        </w:rPr>
        <w:t>相关活动</w:t>
      </w:r>
      <w:r>
        <w:rPr>
          <w:rFonts w:ascii="Times New Roman" w:hAnsi="Times New Roman" w:eastAsia="宋体" w:cs="Times New Roman"/>
          <w:sz w:val="24"/>
          <w:szCs w:val="28"/>
        </w:rPr>
        <w:t>数据和</w:t>
      </w:r>
      <w:r>
        <w:rPr>
          <w:rFonts w:hint="eastAsia" w:ascii="Times New Roman" w:hAnsi="Times New Roman" w:eastAsia="宋体" w:cs="Times New Roman"/>
          <w:sz w:val="24"/>
          <w:szCs w:val="28"/>
        </w:rPr>
        <w:t>碳</w:t>
      </w:r>
      <w:r>
        <w:rPr>
          <w:rFonts w:ascii="Times New Roman" w:hAnsi="Times New Roman" w:eastAsia="宋体" w:cs="Times New Roman"/>
          <w:sz w:val="24"/>
          <w:szCs w:val="28"/>
        </w:rPr>
        <w:t>排放因子进行不确定度</w:t>
      </w:r>
      <w:r>
        <w:rPr>
          <w:rFonts w:hint="eastAsia" w:ascii="Times New Roman" w:hAnsi="Times New Roman" w:eastAsia="宋体" w:cs="Times New Roman"/>
          <w:sz w:val="24"/>
          <w:szCs w:val="28"/>
        </w:rPr>
        <w:t>分析</w:t>
      </w:r>
      <w:r>
        <w:rPr>
          <w:rFonts w:ascii="Times New Roman" w:hAnsi="Times New Roman" w:eastAsia="宋体" w:cs="Times New Roman"/>
          <w:sz w:val="24"/>
          <w:szCs w:val="28"/>
        </w:rPr>
        <w:t>。</w:t>
      </w:r>
    </w:p>
    <w:p w14:paraId="07F862C1">
      <w:pPr>
        <w:spacing w:line="360" w:lineRule="auto"/>
        <w:rPr>
          <w:rFonts w:ascii="Times New Roman" w:hAnsi="Times New Roman" w:eastAsia="宋体" w:cs="Times New Roman"/>
          <w:sz w:val="24"/>
          <w:szCs w:val="28"/>
        </w:rPr>
      </w:pPr>
      <w:r>
        <w:rPr>
          <w:rFonts w:ascii="Times New Roman" w:hAnsi="Times New Roman" w:eastAsia="宋体" w:cs="Times New Roman"/>
          <w:sz w:val="24"/>
          <w:szCs w:val="28"/>
        </w:rPr>
        <w:t>D.1</w:t>
      </w:r>
      <w:r>
        <w:rPr>
          <w:rFonts w:hint="eastAsia" w:ascii="Times New Roman" w:hAnsi="Times New Roman" w:eastAsia="宋体" w:cs="Times New Roman"/>
          <w:sz w:val="24"/>
          <w:szCs w:val="28"/>
        </w:rPr>
        <w:t>活动数据不确定度评估方法</w:t>
      </w:r>
    </w:p>
    <w:p w14:paraId="5EF13FE2">
      <w:pPr>
        <w:spacing w:line="360" w:lineRule="auto"/>
        <w:rPr>
          <w:rFonts w:ascii="Times New Roman" w:hAnsi="Times New Roman" w:eastAsia="宋体" w:cs="Times New Roman"/>
          <w:sz w:val="24"/>
          <w:szCs w:val="28"/>
        </w:rPr>
      </w:pPr>
      <w:r>
        <w:rPr>
          <w:rFonts w:ascii="Times New Roman" w:hAnsi="Times New Roman" w:eastAsia="宋体" w:cs="Times New Roman"/>
          <w:sz w:val="24"/>
          <w:szCs w:val="28"/>
        </w:rPr>
        <w:t>D.1.1</w:t>
      </w:r>
      <w:r>
        <w:rPr>
          <w:rFonts w:hint="eastAsia" w:ascii="Times New Roman" w:hAnsi="Times New Roman" w:eastAsia="宋体" w:cs="Times New Roman"/>
          <w:sz w:val="24"/>
          <w:szCs w:val="28"/>
        </w:rPr>
        <w:t>化石燃料直接消耗相关活动数据</w:t>
      </w:r>
    </w:p>
    <w:p w14:paraId="682C9CA9">
      <w:pPr>
        <w:spacing w:line="360" w:lineRule="auto"/>
        <w:rPr>
          <w:rFonts w:ascii="Times New Roman" w:hAnsi="Times New Roman" w:eastAsia="宋体" w:cs="Times New Roman"/>
          <w:sz w:val="24"/>
          <w:szCs w:val="28"/>
        </w:rPr>
      </w:pPr>
      <w:r>
        <w:rPr>
          <w:rFonts w:hint="eastAsia" w:ascii="Times New Roman" w:hAnsi="Times New Roman" w:eastAsia="宋体" w:cs="Times New Roman"/>
          <w:sz w:val="24"/>
          <w:szCs w:val="28"/>
        </w:rPr>
        <w:t>根据误差传播定律，化石燃料活动数据的标准不确定度按式（</w:t>
      </w:r>
      <w:r>
        <w:rPr>
          <w:rFonts w:ascii="Times New Roman" w:hAnsi="Times New Roman" w:eastAsia="宋体" w:cs="Times New Roman"/>
          <w:sz w:val="24"/>
          <w:szCs w:val="28"/>
        </w:rPr>
        <w:t>D-1</w:t>
      </w:r>
      <w:r>
        <w:rPr>
          <w:rFonts w:hint="eastAsia" w:ascii="Times New Roman" w:hAnsi="Times New Roman" w:eastAsia="宋体" w:cs="Times New Roman"/>
          <w:sz w:val="24"/>
          <w:szCs w:val="28"/>
        </w:rPr>
        <w:t>）计算：</w:t>
      </w:r>
    </w:p>
    <w:p w14:paraId="1282FE40">
      <w:pPr>
        <w:pStyle w:val="39"/>
      </w:pPr>
      <w:r>
        <w:tab/>
      </w:r>
      <w:r>
        <w:rPr>
          <w:position w:val="-40"/>
        </w:rPr>
        <w:object>
          <v:shape id="_x0000_i1032" o:spt="75" type="#_x0000_t75" style="height:50.2pt;width:179.65pt;" o:ole="t" filled="f" o:preferrelative="t" stroked="f" coordsize="21600,21600">
            <v:path/>
            <v:fill on="f" focussize="0,0"/>
            <v:stroke on="f" joinstyle="miter"/>
            <v:imagedata r:id="rId32" o:title=""/>
            <o:lock v:ext="edit" aspectratio="t"/>
            <w10:wrap type="none"/>
            <w10:anchorlock/>
          </v:shape>
          <o:OLEObject Type="Embed" ProgID="Equation.DSMT4" ShapeID="_x0000_i1032" DrawAspect="Content" ObjectID="_1468075732" r:id="rId31">
            <o:LockedField>false</o:LockedField>
          </o:OLEObject>
        </w:object>
      </w:r>
      <w:r>
        <w:t xml:space="preserve"> </w:t>
      </w:r>
      <w:r>
        <w:tab/>
      </w:r>
      <w:r>
        <w:fldChar w:fldCharType="begin"/>
      </w:r>
      <w:r>
        <w:instrText xml:space="preserve"> MACROBUTTON MTPlaceRef \* MERGEFORMAT </w:instrText>
      </w:r>
      <w:r>
        <w:fldChar w:fldCharType="begin"/>
      </w:r>
      <w:r>
        <w:instrText xml:space="preserve"> SEQ MTEqn \h \* MERGEFORMAT </w:instrText>
      </w:r>
      <w:r>
        <w:fldChar w:fldCharType="end"/>
      </w:r>
      <w:r>
        <w:instrText xml:space="preserve">(D-1)</w:instrText>
      </w:r>
      <w:r>
        <w:fldChar w:fldCharType="end"/>
      </w:r>
    </w:p>
    <w:p w14:paraId="51F53357">
      <w:pPr>
        <w:spacing w:line="360" w:lineRule="auto"/>
        <w:ind w:firstLine="480" w:firstLineChars="200"/>
        <w:rPr>
          <w:rFonts w:ascii="Times New Roman" w:hAnsi="Times New Roman" w:eastAsia="宋体" w:cs="Times New Roman"/>
          <w:sz w:val="24"/>
          <w:szCs w:val="28"/>
        </w:rPr>
      </w:pPr>
      <w:r>
        <w:rPr>
          <w:rFonts w:hint="eastAsia" w:ascii="Times New Roman" w:hAnsi="Times New Roman" w:eastAsia="宋体" w:cs="Times New Roman"/>
          <w:sz w:val="24"/>
          <w:szCs w:val="28"/>
        </w:rPr>
        <w:t>式中：</w:t>
      </w:r>
    </w:p>
    <w:p w14:paraId="46BF7370">
      <w:pPr>
        <w:spacing w:line="360" w:lineRule="auto"/>
        <w:ind w:firstLine="480" w:firstLineChars="200"/>
        <w:rPr>
          <w:rFonts w:ascii="Times New Roman" w:hAnsi="Times New Roman" w:eastAsia="宋体" w:cs="Times New Roman"/>
          <w:sz w:val="24"/>
          <w:szCs w:val="28"/>
        </w:rPr>
      </w:pPr>
      <w:r>
        <w:rPr>
          <w:rFonts w:ascii="Times New Roman" w:hAnsi="Times New Roman" w:eastAsia="宋体" w:cs="Times New Roman"/>
          <w:i/>
          <w:iCs/>
          <w:sz w:val="24"/>
          <w:szCs w:val="28"/>
        </w:rPr>
        <w:t>u</w:t>
      </w:r>
      <w:r>
        <w:rPr>
          <w:rFonts w:hint="eastAsia" w:ascii="Times New Roman" w:hAnsi="Times New Roman" w:eastAsia="宋体" w:cs="Times New Roman"/>
          <w:sz w:val="24"/>
          <w:szCs w:val="28"/>
        </w:rPr>
        <w:t>（</w:t>
      </w:r>
      <w:r>
        <w:rPr>
          <w:rFonts w:ascii="Times New Roman" w:hAnsi="Times New Roman" w:eastAsia="宋体" w:cs="Times New Roman"/>
          <w:i/>
          <w:iCs/>
          <w:sz w:val="24"/>
          <w:szCs w:val="28"/>
        </w:rPr>
        <w:t>A</w:t>
      </w:r>
      <w:r>
        <w:rPr>
          <w:rFonts w:hint="eastAsia" w:ascii="Times New Roman" w:hAnsi="Times New Roman" w:eastAsia="宋体" w:cs="Times New Roman"/>
          <w:sz w:val="24"/>
          <w:szCs w:val="28"/>
        </w:rPr>
        <w:t>）</w:t>
      </w:r>
      <w:r>
        <w:rPr>
          <w:rFonts w:ascii="Times New Roman" w:hAnsi="Times New Roman" w:eastAsia="宋体" w:cs="Times New Roman"/>
          <w:sz w:val="24"/>
          <w:szCs w:val="28"/>
        </w:rPr>
        <w:t>——</w:t>
      </w:r>
      <w:r>
        <w:rPr>
          <w:rFonts w:hint="eastAsia" w:ascii="Times New Roman" w:hAnsi="Times New Roman" w:eastAsia="宋体" w:cs="Times New Roman"/>
          <w:sz w:val="24"/>
          <w:szCs w:val="28"/>
        </w:rPr>
        <w:t>化石燃料活动数据的标准不确定度；</w:t>
      </w:r>
    </w:p>
    <w:p w14:paraId="39BC5991">
      <w:pPr>
        <w:spacing w:line="360" w:lineRule="auto"/>
        <w:ind w:firstLine="960" w:firstLineChars="400"/>
        <w:rPr>
          <w:rFonts w:ascii="Times New Roman" w:hAnsi="Times New Roman" w:eastAsia="宋体" w:cs="Times New Roman"/>
          <w:sz w:val="24"/>
          <w:szCs w:val="28"/>
        </w:rPr>
      </w:pPr>
      <w:r>
        <w:rPr>
          <w:rFonts w:ascii="Times New Roman" w:hAnsi="Times New Roman" w:eastAsia="宋体" w:cs="Times New Roman"/>
          <w:i/>
          <w:iCs/>
          <w:sz w:val="24"/>
          <w:szCs w:val="28"/>
        </w:rPr>
        <w:t>A</w:t>
      </w:r>
      <w:r>
        <w:rPr>
          <w:rFonts w:hint="eastAsia" w:cs="Times New Roman"/>
          <w:i/>
          <w:iCs/>
          <w:sz w:val="24"/>
          <w:szCs w:val="28"/>
          <w:lang w:val="en-US" w:eastAsia="zh-CN"/>
        </w:rPr>
        <w:t xml:space="preserve">  </w:t>
      </w:r>
      <w:r>
        <w:rPr>
          <w:rFonts w:ascii="Times New Roman" w:hAnsi="Times New Roman" w:eastAsia="宋体" w:cs="Times New Roman"/>
          <w:sz w:val="24"/>
          <w:szCs w:val="28"/>
        </w:rPr>
        <w:t>——</w:t>
      </w:r>
      <w:r>
        <w:rPr>
          <w:rFonts w:hint="eastAsia" w:ascii="Times New Roman" w:hAnsi="Times New Roman" w:eastAsia="宋体" w:cs="Times New Roman"/>
          <w:sz w:val="24"/>
          <w:szCs w:val="28"/>
        </w:rPr>
        <w:t>化石燃料的活动数据；</w:t>
      </w:r>
    </w:p>
    <w:p w14:paraId="09C4ED44">
      <w:pPr>
        <w:spacing w:line="360" w:lineRule="auto"/>
        <w:ind w:firstLine="480" w:firstLineChars="200"/>
        <w:rPr>
          <w:rFonts w:ascii="Times New Roman" w:hAnsi="Times New Roman" w:eastAsia="宋体" w:cs="Times New Roman"/>
          <w:sz w:val="24"/>
          <w:szCs w:val="28"/>
        </w:rPr>
      </w:pPr>
      <w:r>
        <w:rPr>
          <w:rFonts w:ascii="Times New Roman" w:hAnsi="Times New Roman" w:eastAsia="宋体" w:cs="Times New Roman"/>
          <w:i/>
          <w:iCs/>
          <w:sz w:val="24"/>
          <w:szCs w:val="28"/>
        </w:rPr>
        <w:t>u</w:t>
      </w:r>
      <w:r>
        <w:rPr>
          <w:rFonts w:hint="eastAsia" w:ascii="Times New Roman" w:hAnsi="Times New Roman" w:eastAsia="宋体" w:cs="Times New Roman"/>
          <w:sz w:val="24"/>
          <w:szCs w:val="28"/>
        </w:rPr>
        <w:t>（</w:t>
      </w:r>
      <w:r>
        <w:rPr>
          <w:rFonts w:ascii="Times New Roman" w:hAnsi="Times New Roman" w:eastAsia="宋体" w:cs="Times New Roman"/>
          <w:i/>
          <w:iCs/>
          <w:sz w:val="24"/>
          <w:szCs w:val="28"/>
        </w:rPr>
        <w:t>F</w:t>
      </w:r>
      <w:r>
        <w:rPr>
          <w:rFonts w:hint="eastAsia" w:ascii="Times New Roman" w:hAnsi="Times New Roman" w:eastAsia="宋体" w:cs="Times New Roman"/>
          <w:sz w:val="24"/>
          <w:szCs w:val="28"/>
        </w:rPr>
        <w:t>）</w:t>
      </w:r>
      <w:r>
        <w:rPr>
          <w:rFonts w:ascii="Times New Roman" w:hAnsi="Times New Roman" w:eastAsia="宋体" w:cs="Times New Roman"/>
          <w:sz w:val="24"/>
          <w:szCs w:val="28"/>
        </w:rPr>
        <w:t>——</w:t>
      </w:r>
      <w:r>
        <w:rPr>
          <w:rFonts w:hint="eastAsia" w:ascii="Times New Roman" w:hAnsi="Times New Roman" w:eastAsia="宋体" w:cs="Times New Roman"/>
          <w:sz w:val="24"/>
          <w:szCs w:val="28"/>
        </w:rPr>
        <w:t>化石燃料消耗量的标准不确定度；</w:t>
      </w:r>
    </w:p>
    <w:p w14:paraId="62CEF828">
      <w:pPr>
        <w:spacing w:line="360" w:lineRule="auto"/>
        <w:ind w:firstLine="480" w:firstLineChars="200"/>
        <w:rPr>
          <w:rFonts w:ascii="Times New Roman" w:hAnsi="Times New Roman" w:eastAsia="宋体" w:cs="Times New Roman"/>
          <w:sz w:val="24"/>
          <w:szCs w:val="28"/>
        </w:rPr>
      </w:pPr>
      <w:r>
        <w:rPr>
          <w:rFonts w:ascii="Times New Roman" w:hAnsi="Times New Roman" w:eastAsia="宋体" w:cs="Times New Roman"/>
          <w:i/>
          <w:iCs/>
          <w:sz w:val="24"/>
          <w:szCs w:val="28"/>
        </w:rPr>
        <w:t>u</w:t>
      </w:r>
      <w:r>
        <w:rPr>
          <w:rFonts w:hint="eastAsia" w:ascii="Times New Roman" w:hAnsi="Times New Roman" w:eastAsia="宋体" w:cs="Times New Roman"/>
          <w:sz w:val="24"/>
          <w:szCs w:val="28"/>
        </w:rPr>
        <w:t>（</w:t>
      </w:r>
      <w:r>
        <w:rPr>
          <w:rFonts w:ascii="Times New Roman" w:hAnsi="Times New Roman" w:eastAsia="宋体" w:cs="Times New Roman"/>
          <w:i/>
          <w:iCs/>
          <w:sz w:val="24"/>
          <w:szCs w:val="28"/>
        </w:rPr>
        <w:t>N</w:t>
      </w:r>
      <w:r>
        <w:rPr>
          <w:rFonts w:hint="eastAsia" w:ascii="Times New Roman" w:hAnsi="Times New Roman" w:eastAsia="宋体" w:cs="Times New Roman"/>
          <w:sz w:val="24"/>
          <w:szCs w:val="28"/>
        </w:rPr>
        <w:t>）</w:t>
      </w:r>
      <w:r>
        <w:rPr>
          <w:rFonts w:ascii="Times New Roman" w:hAnsi="Times New Roman" w:eastAsia="宋体" w:cs="Times New Roman"/>
          <w:sz w:val="24"/>
          <w:szCs w:val="28"/>
        </w:rPr>
        <w:t>——</w:t>
      </w:r>
      <w:r>
        <w:rPr>
          <w:rFonts w:hint="eastAsia" w:ascii="Times New Roman" w:hAnsi="Times New Roman" w:eastAsia="宋体" w:cs="Times New Roman"/>
          <w:sz w:val="24"/>
          <w:szCs w:val="28"/>
        </w:rPr>
        <w:t>化石燃料低位发热量的标准不确定度。</w:t>
      </w:r>
    </w:p>
    <w:p w14:paraId="3913080C">
      <w:pPr>
        <w:spacing w:line="360" w:lineRule="auto"/>
        <w:ind w:firstLine="480" w:firstLineChars="200"/>
        <w:rPr>
          <w:rFonts w:ascii="Times New Roman" w:hAnsi="Times New Roman" w:eastAsia="宋体" w:cs="Times New Roman"/>
          <w:sz w:val="24"/>
          <w:szCs w:val="28"/>
        </w:rPr>
      </w:pPr>
      <w:r>
        <w:rPr>
          <w:rFonts w:hint="eastAsia" w:ascii="Times New Roman" w:hAnsi="Times New Roman" w:eastAsia="宋体" w:cs="Times New Roman"/>
          <w:sz w:val="24"/>
          <w:szCs w:val="28"/>
        </w:rPr>
        <w:t>对于气体和液体燃料如天然气、燃油，其活动数据标准不确定度应考虑测量仪器的测量不确定度和相关燃料的低位发热量标准不确定度；对于固体燃料如煤炭，应考虑采样不均匀引起的不确定度。煤炭的低位发热量相对不确定度按式（</w:t>
      </w:r>
      <w:r>
        <w:rPr>
          <w:rFonts w:ascii="Times New Roman" w:hAnsi="Times New Roman" w:eastAsia="宋体" w:cs="Times New Roman"/>
          <w:sz w:val="24"/>
          <w:szCs w:val="28"/>
        </w:rPr>
        <w:t>D-2</w:t>
      </w:r>
      <w:r>
        <w:rPr>
          <w:rFonts w:hint="eastAsia" w:ascii="Times New Roman" w:hAnsi="Times New Roman" w:eastAsia="宋体" w:cs="Times New Roman"/>
          <w:sz w:val="24"/>
          <w:szCs w:val="28"/>
        </w:rPr>
        <w:t>）计算：</w:t>
      </w:r>
    </w:p>
    <w:p w14:paraId="2A289551">
      <w:pPr>
        <w:pStyle w:val="39"/>
      </w:pPr>
      <w:r>
        <w:tab/>
      </w:r>
      <w:r>
        <w:rPr>
          <w:position w:val="-24"/>
        </w:rPr>
        <w:object>
          <v:shape id="_x0000_i1033" o:spt="75" type="#_x0000_t75" style="height:31.05pt;width:132.1pt;" o:ole="t" filled="f" o:preferrelative="t" stroked="f" coordsize="21600,21600">
            <v:path/>
            <v:fill on="f" focussize="0,0"/>
            <v:stroke on="f" joinstyle="miter"/>
            <v:imagedata r:id="rId34" o:title=""/>
            <o:lock v:ext="edit" aspectratio="t"/>
            <w10:wrap type="none"/>
            <w10:anchorlock/>
          </v:shape>
          <o:OLEObject Type="Embed" ProgID="Equation.DSMT4" ShapeID="_x0000_i1033" DrawAspect="Content" ObjectID="_1468075733" r:id="rId33">
            <o:LockedField>false</o:LockedField>
          </o:OLEObject>
        </w:object>
      </w:r>
      <w:r>
        <w:t xml:space="preserve"> </w:t>
      </w:r>
      <w:r>
        <w:tab/>
      </w:r>
      <w:r>
        <w:fldChar w:fldCharType="begin"/>
      </w:r>
      <w:r>
        <w:instrText xml:space="preserve"> MACROBUTTON MTPlaceRef \* MERGEFORMAT </w:instrText>
      </w:r>
      <w:r>
        <w:fldChar w:fldCharType="begin"/>
      </w:r>
      <w:r>
        <w:instrText xml:space="preserve"> SEQ MTEqn \h \* MERGEFORMAT </w:instrText>
      </w:r>
      <w:r>
        <w:fldChar w:fldCharType="end"/>
      </w:r>
      <w:r>
        <w:instrText xml:space="preserve">(D-2)</w:instrText>
      </w:r>
      <w:r>
        <w:fldChar w:fldCharType="end"/>
      </w:r>
    </w:p>
    <w:p w14:paraId="7279A027">
      <w:pPr>
        <w:spacing w:line="360" w:lineRule="auto"/>
        <w:ind w:firstLine="480" w:firstLineChars="200"/>
        <w:rPr>
          <w:rFonts w:ascii="Times New Roman" w:hAnsi="Times New Roman" w:eastAsia="宋体" w:cs="Times New Roman"/>
          <w:sz w:val="24"/>
          <w:szCs w:val="28"/>
        </w:rPr>
      </w:pPr>
      <w:r>
        <w:rPr>
          <w:rFonts w:hint="eastAsia" w:ascii="Times New Roman" w:hAnsi="Times New Roman" w:eastAsia="宋体" w:cs="Times New Roman"/>
          <w:sz w:val="24"/>
          <w:szCs w:val="28"/>
        </w:rPr>
        <w:t>式中：</w:t>
      </w:r>
    </w:p>
    <w:p w14:paraId="3F01EB2F">
      <w:pPr>
        <w:pStyle w:val="39"/>
        <w:ind w:firstLine="480" w:firstLineChars="200"/>
        <w:jc w:val="both"/>
      </w:pPr>
      <w:r>
        <w:rPr>
          <w:i/>
          <w:iCs/>
        </w:rPr>
        <w:t>N</w:t>
      </w:r>
      <w:r>
        <w:rPr>
          <w:sz w:val="24"/>
          <w:szCs w:val="28"/>
        </w:rPr>
        <w:t>——</w:t>
      </w:r>
      <w:r>
        <w:rPr>
          <w:rFonts w:hint="eastAsia"/>
          <w:sz w:val="24"/>
          <w:szCs w:val="28"/>
        </w:rPr>
        <w:t>煤炭的低位发热量；</w:t>
      </w:r>
    </w:p>
    <w:p w14:paraId="47A83D05">
      <w:pPr>
        <w:pStyle w:val="39"/>
        <w:ind w:firstLine="240" w:firstLineChars="100"/>
        <w:jc w:val="both"/>
        <w:rPr>
          <w:sz w:val="24"/>
          <w:szCs w:val="28"/>
        </w:rPr>
      </w:pPr>
      <w:r>
        <w:rPr>
          <w:rFonts w:hint="eastAsia"/>
          <w:i/>
          <w:iCs/>
        </w:rPr>
        <w:t>u</w:t>
      </w:r>
      <w:r>
        <w:rPr>
          <w:vertAlign w:val="subscript"/>
        </w:rPr>
        <w:t>N</w:t>
      </w:r>
      <w:r>
        <w:rPr>
          <w:rFonts w:hint="eastAsia"/>
          <w:vertAlign w:val="subscript"/>
        </w:rPr>
        <w:t>采</w:t>
      </w:r>
      <w:r>
        <w:rPr>
          <w:sz w:val="24"/>
          <w:szCs w:val="28"/>
        </w:rPr>
        <w:t>——</w:t>
      </w:r>
      <w:r>
        <w:rPr>
          <w:rFonts w:hint="eastAsia"/>
          <w:sz w:val="24"/>
          <w:szCs w:val="28"/>
        </w:rPr>
        <w:t>煤炭采样引起的发热量测定相对不确定度；</w:t>
      </w:r>
    </w:p>
    <w:p w14:paraId="1C39C595">
      <w:pPr>
        <w:pStyle w:val="39"/>
        <w:ind w:firstLine="240" w:firstLineChars="100"/>
        <w:jc w:val="both"/>
      </w:pPr>
      <w:r>
        <w:rPr>
          <w:rFonts w:hint="eastAsia"/>
        </w:rPr>
        <w:t>u</w:t>
      </w:r>
      <w:r>
        <w:rPr>
          <w:rFonts w:hint="eastAsia"/>
          <w:vertAlign w:val="subscript"/>
        </w:rPr>
        <w:t>热测</w:t>
      </w:r>
      <w:r>
        <w:rPr>
          <w:sz w:val="24"/>
          <w:szCs w:val="28"/>
        </w:rPr>
        <w:t>——</w:t>
      </w:r>
      <w:r>
        <w:rPr>
          <w:rFonts w:hint="eastAsia"/>
          <w:sz w:val="24"/>
          <w:szCs w:val="28"/>
        </w:rPr>
        <w:t>煤炭样品发热量测量的相对不确定度。</w:t>
      </w:r>
    </w:p>
    <w:p w14:paraId="6F5D93A8">
      <w:pPr>
        <w:spacing w:line="360" w:lineRule="auto"/>
        <w:ind w:firstLine="480" w:firstLineChars="200"/>
        <w:rPr>
          <w:rFonts w:ascii="Times New Roman" w:hAnsi="Times New Roman" w:eastAsia="宋体" w:cs="Times New Roman"/>
          <w:sz w:val="24"/>
          <w:szCs w:val="28"/>
        </w:rPr>
      </w:pPr>
      <w:r>
        <w:rPr>
          <w:rFonts w:hint="eastAsia" w:ascii="Times New Roman" w:hAnsi="Times New Roman" w:eastAsia="宋体" w:cs="Times New Roman"/>
          <w:sz w:val="24"/>
          <w:szCs w:val="28"/>
        </w:rPr>
        <w:t>在评估采样不均匀引起的低位发热量不确定度时，需在同一批次进行多次采样，采样次数不少于</w:t>
      </w:r>
      <w:r>
        <w:rPr>
          <w:rFonts w:ascii="Times New Roman" w:hAnsi="Times New Roman" w:eastAsia="宋体" w:cs="Times New Roman"/>
          <w:sz w:val="24"/>
          <w:szCs w:val="28"/>
        </w:rPr>
        <w:t>10</w:t>
      </w:r>
      <w:r>
        <w:rPr>
          <w:rFonts w:hint="eastAsia" w:ascii="Times New Roman" w:hAnsi="Times New Roman" w:eastAsia="宋体" w:cs="Times New Roman"/>
          <w:sz w:val="24"/>
          <w:szCs w:val="28"/>
        </w:rPr>
        <w:t>次，采样不确定度按照式（</w:t>
      </w:r>
      <w:r>
        <w:rPr>
          <w:rFonts w:ascii="Times New Roman" w:hAnsi="Times New Roman" w:eastAsia="宋体" w:cs="Times New Roman"/>
          <w:sz w:val="24"/>
          <w:szCs w:val="28"/>
        </w:rPr>
        <w:t>D-3</w:t>
      </w:r>
      <w:r>
        <w:rPr>
          <w:rFonts w:hint="eastAsia" w:ascii="Times New Roman" w:hAnsi="Times New Roman" w:eastAsia="宋体" w:cs="Times New Roman"/>
          <w:sz w:val="24"/>
          <w:szCs w:val="28"/>
        </w:rPr>
        <w:t>）计算：</w:t>
      </w:r>
    </w:p>
    <w:p w14:paraId="73F68C83">
      <w:pPr>
        <w:pStyle w:val="39"/>
      </w:pPr>
      <w:r>
        <w:tab/>
      </w:r>
      <w:r>
        <w:rPr>
          <w:position w:val="-34"/>
        </w:rPr>
        <w:object>
          <v:shape id="_x0000_i1034" o:spt="75" type="#_x0000_t75" style="height:45.6pt;width:147.3pt;" o:ole="t" filled="f" o:preferrelative="t" stroked="f" coordsize="21600,21600">
            <v:path/>
            <v:fill on="f" focussize="0,0"/>
            <v:stroke on="f" joinstyle="miter"/>
            <v:imagedata r:id="rId36" o:title=""/>
            <o:lock v:ext="edit" aspectratio="t"/>
            <w10:wrap type="none"/>
            <w10:anchorlock/>
          </v:shape>
          <o:OLEObject Type="Embed" ProgID="Equation.DSMT4" ShapeID="_x0000_i1034" DrawAspect="Content" ObjectID="_1468075734" r:id="rId35">
            <o:LockedField>false</o:LockedField>
          </o:OLEObject>
        </w:object>
      </w:r>
      <w:r>
        <w:t xml:space="preserve"> </w:t>
      </w:r>
      <w:r>
        <w:tab/>
      </w:r>
      <w:r>
        <w:fldChar w:fldCharType="begin"/>
      </w:r>
      <w:r>
        <w:instrText xml:space="preserve"> MACROBUTTON MTPlaceRef \* MERGEFORMAT </w:instrText>
      </w:r>
      <w:r>
        <w:fldChar w:fldCharType="begin"/>
      </w:r>
      <w:r>
        <w:instrText xml:space="preserve"> SEQ MTEqn \h \* MERGEFORMAT </w:instrText>
      </w:r>
      <w:r>
        <w:fldChar w:fldCharType="end"/>
      </w:r>
      <w:r>
        <w:instrText xml:space="preserve">(D-3)</w:instrText>
      </w:r>
      <w:r>
        <w:fldChar w:fldCharType="end"/>
      </w:r>
    </w:p>
    <w:p w14:paraId="44008A28">
      <w:pPr>
        <w:spacing w:line="360" w:lineRule="auto"/>
        <w:ind w:firstLine="480" w:firstLineChars="200"/>
        <w:rPr>
          <w:rFonts w:ascii="Times New Roman" w:hAnsi="Times New Roman" w:eastAsia="宋体" w:cs="Times New Roman"/>
          <w:sz w:val="24"/>
          <w:szCs w:val="28"/>
        </w:rPr>
      </w:pPr>
      <w:r>
        <w:rPr>
          <w:rFonts w:hint="eastAsia" w:ascii="Times New Roman" w:hAnsi="Times New Roman" w:eastAsia="宋体" w:cs="Times New Roman"/>
          <w:sz w:val="24"/>
          <w:szCs w:val="28"/>
        </w:rPr>
        <w:t>式中：</w:t>
      </w:r>
    </w:p>
    <w:p w14:paraId="63C0E923">
      <w:pPr>
        <w:spacing w:line="360" w:lineRule="auto"/>
        <w:ind w:firstLine="480" w:firstLineChars="200"/>
        <w:rPr>
          <w:rFonts w:ascii="Times New Roman" w:hAnsi="Times New Roman" w:eastAsia="宋体" w:cs="Times New Roman"/>
          <w:i/>
          <w:iCs/>
          <w:sz w:val="24"/>
          <w:szCs w:val="28"/>
        </w:rPr>
      </w:pPr>
      <w:r>
        <w:rPr>
          <w:rFonts w:ascii="Times New Roman" w:hAnsi="Times New Roman" w:eastAsia="宋体" w:cs="Times New Roman"/>
          <w:i/>
          <w:iCs/>
          <w:sz w:val="24"/>
          <w:szCs w:val="28"/>
        </w:rPr>
        <w:t>s</w:t>
      </w:r>
      <w:r>
        <w:rPr>
          <w:rFonts w:hint="eastAsia" w:ascii="Times New Roman" w:hAnsi="Times New Roman" w:eastAsia="宋体" w:cs="Times New Roman"/>
          <w:sz w:val="24"/>
          <w:szCs w:val="28"/>
        </w:rPr>
        <w:t>（</w:t>
      </w:r>
      <w:r>
        <w:rPr>
          <w:rFonts w:hint="eastAsia" w:ascii="Times New Roman" w:hAnsi="Times New Roman" w:eastAsia="宋体" w:cs="Times New Roman"/>
          <w:i/>
          <w:iCs/>
          <w:sz w:val="24"/>
          <w:szCs w:val="28"/>
        </w:rPr>
        <w:t>x</w:t>
      </w:r>
      <w:r>
        <w:rPr>
          <w:rFonts w:hint="eastAsia" w:ascii="Times New Roman" w:hAnsi="Times New Roman" w:eastAsia="宋体" w:cs="Times New Roman"/>
          <w:sz w:val="24"/>
          <w:szCs w:val="28"/>
        </w:rPr>
        <w:t>）</w:t>
      </w:r>
      <w:r>
        <w:rPr>
          <w:rFonts w:ascii="Times New Roman" w:hAnsi="Times New Roman" w:eastAsia="宋体" w:cs="Times New Roman"/>
          <w:sz w:val="24"/>
          <w:szCs w:val="28"/>
        </w:rPr>
        <w:t>——</w:t>
      </w:r>
      <w:r>
        <w:rPr>
          <w:rFonts w:hint="eastAsia" w:ascii="Times New Roman" w:hAnsi="Times New Roman" w:eastAsia="宋体" w:cs="Times New Roman"/>
          <w:sz w:val="24"/>
          <w:szCs w:val="28"/>
        </w:rPr>
        <w:t>某单个采样测得值</w:t>
      </w:r>
      <w:r>
        <w:rPr>
          <w:rFonts w:ascii="Times New Roman" w:hAnsi="Times New Roman" w:eastAsia="宋体" w:cs="Times New Roman"/>
          <w:i/>
          <w:iCs/>
          <w:sz w:val="24"/>
          <w:szCs w:val="28"/>
        </w:rPr>
        <w:t>x</w:t>
      </w:r>
      <w:r>
        <w:rPr>
          <w:rFonts w:ascii="Times New Roman" w:hAnsi="Times New Roman" w:eastAsia="宋体" w:cs="Times New Roman"/>
          <w:sz w:val="24"/>
          <w:szCs w:val="28"/>
        </w:rPr>
        <w:t>的实验标准偏差</w:t>
      </w:r>
      <w:r>
        <w:rPr>
          <w:rFonts w:hint="eastAsia" w:ascii="Times New Roman" w:hAnsi="Times New Roman" w:eastAsia="宋体" w:cs="Times New Roman"/>
          <w:sz w:val="24"/>
          <w:szCs w:val="28"/>
        </w:rPr>
        <w:t>；</w:t>
      </w:r>
    </w:p>
    <w:p w14:paraId="7ABCBDED">
      <w:pPr>
        <w:spacing w:line="360" w:lineRule="auto"/>
        <w:ind w:firstLine="960" w:firstLineChars="400"/>
        <w:rPr>
          <w:rFonts w:ascii="Times New Roman" w:hAnsi="Times New Roman" w:eastAsia="宋体" w:cs="Times New Roman"/>
          <w:sz w:val="24"/>
          <w:szCs w:val="28"/>
        </w:rPr>
      </w:pPr>
      <w:r>
        <w:rPr>
          <w:rFonts w:ascii="Times New Roman" w:hAnsi="Times New Roman" w:eastAsia="宋体" w:cs="Times New Roman"/>
          <w:i/>
          <w:iCs/>
          <w:sz w:val="24"/>
          <w:szCs w:val="28"/>
        </w:rPr>
        <w:t>N</w:t>
      </w:r>
      <w:r>
        <w:rPr>
          <w:rFonts w:hint="eastAsia" w:cs="Times New Roman"/>
          <w:i/>
          <w:iCs/>
          <w:sz w:val="24"/>
          <w:szCs w:val="28"/>
          <w:lang w:val="en-US" w:eastAsia="zh-CN"/>
        </w:rPr>
        <w:t xml:space="preserve"> </w:t>
      </w:r>
      <w:r>
        <w:rPr>
          <w:rFonts w:ascii="Times New Roman" w:hAnsi="Times New Roman" w:eastAsia="宋体" w:cs="Times New Roman"/>
          <w:sz w:val="24"/>
          <w:szCs w:val="28"/>
        </w:rPr>
        <w:t>——</w:t>
      </w:r>
      <w:r>
        <w:rPr>
          <w:rFonts w:hint="eastAsia" w:ascii="Times New Roman" w:hAnsi="Times New Roman" w:eastAsia="宋体" w:cs="Times New Roman"/>
          <w:sz w:val="24"/>
          <w:szCs w:val="28"/>
        </w:rPr>
        <w:t>采样次数；</w:t>
      </w:r>
    </w:p>
    <w:p w14:paraId="35CF219D">
      <w:pPr>
        <w:spacing w:line="360" w:lineRule="auto"/>
        <w:ind w:firstLine="960" w:firstLineChars="400"/>
        <w:rPr>
          <w:rFonts w:ascii="Times New Roman" w:hAnsi="Times New Roman" w:eastAsia="宋体" w:cs="Times New Roman"/>
          <w:sz w:val="24"/>
          <w:szCs w:val="28"/>
        </w:rPr>
      </w:pPr>
      <w:r>
        <w:rPr>
          <w:rFonts w:ascii="Times New Roman" w:hAnsi="Times New Roman" w:eastAsia="宋体" w:cs="Times New Roman"/>
          <w:i/>
          <w:iCs/>
          <w:sz w:val="24"/>
          <w:szCs w:val="28"/>
        </w:rPr>
        <w:t>X</w:t>
      </w:r>
      <w:r>
        <w:rPr>
          <w:rFonts w:hint="eastAsia" w:ascii="Times New Roman" w:hAnsi="Times New Roman" w:eastAsia="宋体" w:cs="Times New Roman"/>
          <w:i/>
          <w:iCs/>
          <w:sz w:val="24"/>
          <w:szCs w:val="28"/>
          <w:vertAlign w:val="subscript"/>
        </w:rPr>
        <w:t>i</w:t>
      </w:r>
      <w:r>
        <w:rPr>
          <w:rFonts w:hint="eastAsia" w:cs="Times New Roman"/>
          <w:i/>
          <w:iCs/>
          <w:sz w:val="24"/>
          <w:szCs w:val="28"/>
          <w:vertAlign w:val="subscript"/>
          <w:lang w:val="en-US" w:eastAsia="zh-CN"/>
        </w:rPr>
        <w:t xml:space="preserve"> </w:t>
      </w:r>
      <w:r>
        <w:rPr>
          <w:rFonts w:ascii="Times New Roman" w:hAnsi="Times New Roman" w:eastAsia="宋体" w:cs="Times New Roman"/>
          <w:sz w:val="24"/>
          <w:szCs w:val="28"/>
        </w:rPr>
        <w:t>——</w:t>
      </w:r>
      <w:r>
        <w:rPr>
          <w:rFonts w:hint="eastAsia" w:ascii="Times New Roman" w:hAnsi="Times New Roman" w:eastAsia="宋体" w:cs="Times New Roman"/>
          <w:sz w:val="24"/>
          <w:szCs w:val="28"/>
        </w:rPr>
        <w:t>同一批次第</w:t>
      </w:r>
      <w:r>
        <w:rPr>
          <w:rFonts w:ascii="Times New Roman" w:hAnsi="Times New Roman" w:eastAsia="宋体" w:cs="Times New Roman"/>
          <w:i/>
          <w:iCs/>
          <w:sz w:val="24"/>
          <w:szCs w:val="28"/>
        </w:rPr>
        <w:t>i</w:t>
      </w:r>
      <w:r>
        <w:rPr>
          <w:rFonts w:hint="eastAsia" w:ascii="Times New Roman" w:hAnsi="Times New Roman" w:eastAsia="宋体" w:cs="Times New Roman"/>
          <w:sz w:val="24"/>
          <w:szCs w:val="28"/>
        </w:rPr>
        <w:t>次采样的样品低位发热量；</w:t>
      </w:r>
    </w:p>
    <w:p w14:paraId="664948E4">
      <w:pPr>
        <w:spacing w:line="360" w:lineRule="auto"/>
        <w:ind w:firstLine="960" w:firstLineChars="400"/>
        <w:rPr>
          <w:rFonts w:ascii="Times New Roman" w:hAnsi="Times New Roman" w:eastAsia="宋体" w:cs="Times New Roman"/>
          <w:sz w:val="24"/>
          <w:szCs w:val="28"/>
        </w:rPr>
      </w:pPr>
      <m:oMath>
        <m:acc>
          <m:accPr>
            <m:chr m:val="̅"/>
            <m:ctrlPr>
              <w:rPr>
                <w:rFonts w:ascii="Cambria Math" w:hAnsi="Cambria Math" w:eastAsia="宋体" w:cs="Times New Roman"/>
                <w:i/>
                <w:sz w:val="24"/>
                <w:szCs w:val="28"/>
              </w:rPr>
            </m:ctrlPr>
          </m:accPr>
          <m:e>
            <m:r>
              <m:rPr/>
              <w:rPr>
                <w:rFonts w:hint="eastAsia" w:ascii="Cambria Math" w:hAnsi="Cambria Math" w:eastAsia="宋体" w:cs="Times New Roman"/>
                <w:sz w:val="24"/>
                <w:szCs w:val="28"/>
              </w:rPr>
              <m:t>x</m:t>
            </m:r>
            <m:r>
              <m:rPr/>
              <w:rPr>
                <w:rFonts w:hint="default" w:ascii="Cambria Math" w:hAnsi="Cambria Math" w:cs="Times New Roman"/>
                <w:sz w:val="24"/>
                <w:szCs w:val="28"/>
                <w:lang w:val="en-US" w:eastAsia="zh-CN"/>
              </w:rPr>
              <m:t xml:space="preserve"> </m:t>
            </m:r>
            <m:ctrlPr>
              <w:rPr>
                <w:rFonts w:ascii="Cambria Math" w:hAnsi="Cambria Math" w:eastAsia="宋体" w:cs="Times New Roman"/>
                <w:i/>
                <w:sz w:val="24"/>
                <w:szCs w:val="28"/>
              </w:rPr>
            </m:ctrlPr>
          </m:e>
        </m:acc>
        <m:r>
          <m:rPr/>
          <w:rPr>
            <w:rFonts w:hint="default" w:ascii="Cambria Math" w:hAnsi="Cambria Math" w:cs="Times New Roman"/>
            <w:sz w:val="24"/>
            <w:szCs w:val="28"/>
            <w:lang w:val="en-US" w:eastAsia="zh-CN"/>
          </w:rPr>
          <m:t xml:space="preserve"> </m:t>
        </m:r>
      </m:oMath>
      <w:r>
        <w:rPr>
          <w:rFonts w:ascii="Times New Roman" w:hAnsi="Times New Roman" w:eastAsia="宋体" w:cs="Times New Roman"/>
          <w:sz w:val="24"/>
          <w:szCs w:val="28"/>
        </w:rPr>
        <w:t>——</w:t>
      </w:r>
      <w:r>
        <w:rPr>
          <w:rFonts w:hint="eastAsia" w:ascii="Times New Roman" w:hAnsi="Times New Roman" w:eastAsia="宋体" w:cs="Times New Roman"/>
          <w:sz w:val="24"/>
          <w:szCs w:val="28"/>
        </w:rPr>
        <w:t>同一批次所有采样的样品平均低位发热量。</w:t>
      </w:r>
    </w:p>
    <w:p w14:paraId="13138342">
      <w:pPr>
        <w:spacing w:line="360" w:lineRule="auto"/>
        <w:rPr>
          <w:rFonts w:ascii="Times New Roman" w:hAnsi="Times New Roman" w:eastAsia="宋体" w:cs="Times New Roman"/>
          <w:sz w:val="24"/>
          <w:szCs w:val="28"/>
        </w:rPr>
      </w:pPr>
      <w:r>
        <w:rPr>
          <w:rFonts w:ascii="Times New Roman" w:hAnsi="Times New Roman" w:eastAsia="宋体" w:cs="Times New Roman"/>
          <w:sz w:val="24"/>
          <w:szCs w:val="28"/>
        </w:rPr>
        <w:t>D.1.2</w:t>
      </w:r>
      <w:r>
        <w:rPr>
          <w:rFonts w:hint="eastAsia" w:ascii="Times New Roman" w:hAnsi="Times New Roman" w:eastAsia="宋体" w:cs="Times New Roman"/>
          <w:sz w:val="24"/>
          <w:szCs w:val="28"/>
        </w:rPr>
        <w:t>净购入能源活动数据</w:t>
      </w:r>
    </w:p>
    <w:p w14:paraId="6E9F2FA6">
      <w:pPr>
        <w:spacing w:line="360" w:lineRule="auto"/>
        <w:ind w:firstLine="480" w:firstLineChars="200"/>
        <w:rPr>
          <w:rFonts w:ascii="Times New Roman" w:hAnsi="Times New Roman" w:eastAsia="宋体" w:cs="Times New Roman"/>
          <w:sz w:val="24"/>
          <w:szCs w:val="28"/>
        </w:rPr>
      </w:pPr>
      <w:r>
        <w:rPr>
          <w:rFonts w:hint="eastAsia" w:ascii="Times New Roman" w:hAnsi="Times New Roman" w:eastAsia="宋体" w:cs="Times New Roman"/>
          <w:sz w:val="24"/>
          <w:szCs w:val="28"/>
        </w:rPr>
        <w:t>净购入能源如电力、热力等活动数据的不确定度为相关计量仪表的不确定度。</w:t>
      </w:r>
    </w:p>
    <w:p w14:paraId="6BF3E7BE">
      <w:pPr>
        <w:spacing w:line="360" w:lineRule="auto"/>
        <w:rPr>
          <w:rFonts w:ascii="Times New Roman" w:hAnsi="Times New Roman" w:eastAsia="宋体" w:cs="Times New Roman"/>
          <w:sz w:val="24"/>
          <w:szCs w:val="28"/>
        </w:rPr>
      </w:pPr>
      <w:r>
        <w:rPr>
          <w:rFonts w:ascii="Times New Roman" w:hAnsi="Times New Roman" w:eastAsia="宋体" w:cs="Times New Roman"/>
          <w:sz w:val="24"/>
          <w:szCs w:val="28"/>
        </w:rPr>
        <w:t>D.1.3</w:t>
      </w:r>
      <w:r>
        <w:rPr>
          <w:rFonts w:hint="eastAsia" w:ascii="Times New Roman" w:hAnsi="Times New Roman" w:eastAsia="宋体" w:cs="Times New Roman"/>
          <w:sz w:val="24"/>
          <w:szCs w:val="28"/>
        </w:rPr>
        <w:t>其他材料活动数据</w:t>
      </w:r>
    </w:p>
    <w:p w14:paraId="070E485B">
      <w:pPr>
        <w:spacing w:line="360" w:lineRule="auto"/>
        <w:ind w:firstLine="480" w:firstLineChars="200"/>
        <w:rPr>
          <w:rFonts w:ascii="Times New Roman" w:hAnsi="Times New Roman" w:eastAsia="宋体" w:cs="Times New Roman"/>
          <w:sz w:val="24"/>
          <w:szCs w:val="28"/>
        </w:rPr>
      </w:pPr>
      <w:r>
        <w:rPr>
          <w:rFonts w:hint="eastAsia" w:ascii="Times New Roman" w:hAnsi="Times New Roman" w:eastAsia="宋体" w:cs="Times New Roman"/>
          <w:sz w:val="24"/>
          <w:szCs w:val="28"/>
        </w:rPr>
        <w:t>针对某些标准物质的过程排放，如</w:t>
      </w:r>
      <w:r>
        <w:rPr>
          <w:rFonts w:hint="eastAsia" w:cs="Times New Roman"/>
          <w:sz w:val="24"/>
          <w:szCs w:val="28"/>
          <w:lang w:val="en-US" w:eastAsia="zh-CN"/>
        </w:rPr>
        <w:t>原材料、焊材、胶黏剂等消耗量以入库消耗记录数据</w:t>
      </w:r>
      <w:r>
        <w:rPr>
          <w:rFonts w:hint="eastAsia" w:ascii="Times New Roman" w:hAnsi="Times New Roman" w:eastAsia="宋体" w:cs="Times New Roman"/>
          <w:sz w:val="24"/>
          <w:szCs w:val="28"/>
        </w:rPr>
        <w:t>为准，不再进行不确定度评估。</w:t>
      </w:r>
    </w:p>
    <w:p w14:paraId="49FA86ED">
      <w:pPr>
        <w:spacing w:line="360" w:lineRule="auto"/>
        <w:rPr>
          <w:rFonts w:ascii="Times New Roman" w:hAnsi="Times New Roman" w:eastAsia="宋体" w:cs="Times New Roman"/>
          <w:sz w:val="24"/>
          <w:szCs w:val="28"/>
        </w:rPr>
      </w:pPr>
      <w:r>
        <w:rPr>
          <w:rFonts w:ascii="Times New Roman" w:hAnsi="Times New Roman" w:eastAsia="宋体" w:cs="Times New Roman"/>
          <w:sz w:val="24"/>
          <w:szCs w:val="28"/>
        </w:rPr>
        <w:t>D.2</w:t>
      </w:r>
      <w:r>
        <w:rPr>
          <w:rFonts w:hint="eastAsia" w:ascii="Times New Roman" w:hAnsi="Times New Roman" w:eastAsia="宋体" w:cs="Times New Roman"/>
          <w:sz w:val="24"/>
          <w:szCs w:val="28"/>
        </w:rPr>
        <w:t>碳排放因子不确定度评估方法</w:t>
      </w:r>
    </w:p>
    <w:p w14:paraId="2B1710F5">
      <w:pPr>
        <w:spacing w:line="360" w:lineRule="auto"/>
        <w:rPr>
          <w:rFonts w:ascii="Times New Roman" w:hAnsi="Times New Roman" w:eastAsia="宋体" w:cs="Times New Roman"/>
          <w:sz w:val="24"/>
          <w:szCs w:val="28"/>
        </w:rPr>
      </w:pPr>
      <w:r>
        <w:rPr>
          <w:rFonts w:ascii="Times New Roman" w:hAnsi="Times New Roman" w:eastAsia="宋体" w:cs="Times New Roman"/>
          <w:sz w:val="24"/>
          <w:szCs w:val="28"/>
        </w:rPr>
        <w:t>D.2</w:t>
      </w:r>
      <w:r>
        <w:rPr>
          <w:rFonts w:hint="eastAsia" w:ascii="Times New Roman" w:hAnsi="Times New Roman" w:eastAsia="宋体" w:cs="Times New Roman"/>
          <w:sz w:val="24"/>
          <w:szCs w:val="28"/>
        </w:rPr>
        <w:t>.1化石燃料碳排放因子</w:t>
      </w:r>
    </w:p>
    <w:p w14:paraId="2EF25F32">
      <w:pPr>
        <w:spacing w:line="360" w:lineRule="auto"/>
        <w:ind w:firstLine="480" w:firstLineChars="200"/>
        <w:rPr>
          <w:rFonts w:ascii="Times New Roman" w:hAnsi="Times New Roman" w:eastAsia="宋体" w:cs="Times New Roman"/>
          <w:sz w:val="24"/>
          <w:szCs w:val="28"/>
        </w:rPr>
      </w:pPr>
      <w:r>
        <w:rPr>
          <w:rFonts w:hint="eastAsia" w:ascii="Times New Roman" w:hAnsi="Times New Roman" w:eastAsia="宋体" w:cs="Times New Roman"/>
          <w:sz w:val="24"/>
          <w:szCs w:val="28"/>
        </w:rPr>
        <w:t>化石燃料碳排放因子的标准不确定度按式（</w:t>
      </w:r>
      <w:r>
        <w:rPr>
          <w:rFonts w:ascii="Times New Roman" w:hAnsi="Times New Roman" w:eastAsia="宋体" w:cs="Times New Roman"/>
          <w:sz w:val="24"/>
          <w:szCs w:val="28"/>
        </w:rPr>
        <w:t>D-4</w:t>
      </w:r>
      <w:r>
        <w:rPr>
          <w:rFonts w:hint="eastAsia" w:ascii="Times New Roman" w:hAnsi="Times New Roman" w:eastAsia="宋体" w:cs="Times New Roman"/>
          <w:sz w:val="24"/>
          <w:szCs w:val="28"/>
        </w:rPr>
        <w:t>）计算：</w:t>
      </w:r>
    </w:p>
    <w:p w14:paraId="233AD2FD">
      <w:pPr>
        <w:pStyle w:val="39"/>
      </w:pPr>
      <w:r>
        <w:tab/>
      </w:r>
      <w:r>
        <w:rPr>
          <w:position w:val="-40"/>
        </w:rPr>
        <w:object>
          <v:shape id="_x0000_i1035" o:spt="75" type="#_x0000_t75" style="height:50.2pt;width:188.25pt;" o:ole="t" filled="f" o:preferrelative="t" stroked="f" coordsize="21600,21600">
            <v:path/>
            <v:fill on="f" focussize="0,0"/>
            <v:stroke on="f" joinstyle="miter"/>
            <v:imagedata r:id="rId38" o:title=""/>
            <o:lock v:ext="edit" aspectratio="t"/>
            <w10:wrap type="none"/>
            <w10:anchorlock/>
          </v:shape>
          <o:OLEObject Type="Embed" ProgID="Equation.DSMT4" ShapeID="_x0000_i1035" DrawAspect="Content" ObjectID="_1468075735" r:id="rId37">
            <o:LockedField>false</o:LockedField>
          </o:OLEObject>
        </w:object>
      </w:r>
      <w:r>
        <w:t xml:space="preserve"> </w:t>
      </w:r>
      <w:r>
        <w:tab/>
      </w:r>
      <w:r>
        <w:fldChar w:fldCharType="begin"/>
      </w:r>
      <w:r>
        <w:instrText xml:space="preserve"> MACROBUTTON MTPlaceRef \* MERGEFORMAT </w:instrText>
      </w:r>
      <w:r>
        <w:fldChar w:fldCharType="begin"/>
      </w:r>
      <w:r>
        <w:instrText xml:space="preserve"> SEQ MTEqn \h \* MERGEFORMAT </w:instrText>
      </w:r>
      <w:r>
        <w:fldChar w:fldCharType="end"/>
      </w:r>
      <w:r>
        <w:instrText xml:space="preserve">(D-4)</w:instrText>
      </w:r>
      <w:r>
        <w:fldChar w:fldCharType="end"/>
      </w:r>
    </w:p>
    <w:p w14:paraId="105BEAD2">
      <w:pPr>
        <w:spacing w:line="360" w:lineRule="auto"/>
        <w:ind w:firstLine="480" w:firstLineChars="200"/>
        <w:rPr>
          <w:rFonts w:ascii="Times New Roman" w:hAnsi="Times New Roman" w:eastAsia="宋体" w:cs="Times New Roman"/>
          <w:sz w:val="24"/>
          <w:szCs w:val="28"/>
        </w:rPr>
      </w:pPr>
      <w:r>
        <w:rPr>
          <w:rFonts w:hint="eastAsia" w:ascii="Times New Roman" w:hAnsi="Times New Roman" w:eastAsia="宋体" w:cs="Times New Roman"/>
          <w:sz w:val="24"/>
          <w:szCs w:val="28"/>
        </w:rPr>
        <w:t>式中：</w:t>
      </w:r>
    </w:p>
    <w:p w14:paraId="314C2CB8">
      <w:pPr>
        <w:spacing w:line="360" w:lineRule="auto"/>
        <w:ind w:firstLine="480" w:firstLineChars="200"/>
        <w:rPr>
          <w:rFonts w:ascii="Times New Roman" w:hAnsi="Times New Roman" w:eastAsia="宋体" w:cs="Times New Roman"/>
          <w:sz w:val="24"/>
          <w:szCs w:val="28"/>
        </w:rPr>
      </w:pPr>
      <w:r>
        <w:rPr>
          <w:rFonts w:ascii="Times New Roman" w:hAnsi="Times New Roman" w:eastAsia="宋体" w:cs="Times New Roman"/>
          <w:i/>
          <w:iCs/>
          <w:sz w:val="24"/>
          <w:szCs w:val="28"/>
        </w:rPr>
        <w:t>u</w:t>
      </w:r>
      <w:r>
        <w:rPr>
          <w:rFonts w:hint="eastAsia" w:ascii="Times New Roman" w:hAnsi="Times New Roman" w:eastAsia="宋体" w:cs="Times New Roman"/>
          <w:sz w:val="24"/>
          <w:szCs w:val="28"/>
        </w:rPr>
        <w:t>（</w:t>
      </w:r>
      <w:r>
        <w:rPr>
          <w:rFonts w:ascii="Times New Roman" w:hAnsi="Times New Roman" w:eastAsia="宋体" w:cs="Times New Roman"/>
          <w:i/>
          <w:iCs/>
          <w:sz w:val="24"/>
          <w:szCs w:val="28"/>
        </w:rPr>
        <w:t>E</w:t>
      </w:r>
      <w:r>
        <w:rPr>
          <w:rFonts w:hint="eastAsia" w:ascii="Times New Roman" w:hAnsi="Times New Roman" w:eastAsia="宋体" w:cs="Times New Roman"/>
          <w:sz w:val="24"/>
          <w:szCs w:val="28"/>
        </w:rPr>
        <w:t>）</w:t>
      </w:r>
      <w:r>
        <w:rPr>
          <w:rFonts w:ascii="Times New Roman" w:hAnsi="Times New Roman" w:eastAsia="宋体" w:cs="Times New Roman"/>
          <w:sz w:val="24"/>
          <w:szCs w:val="28"/>
        </w:rPr>
        <w:t>——</w:t>
      </w:r>
      <w:r>
        <w:rPr>
          <w:rFonts w:hint="eastAsia" w:ascii="Times New Roman" w:hAnsi="Times New Roman" w:eastAsia="宋体" w:cs="Times New Roman"/>
          <w:sz w:val="24"/>
          <w:szCs w:val="28"/>
        </w:rPr>
        <w:t>化石燃料碳排放因子的标准不确定度；</w:t>
      </w:r>
    </w:p>
    <w:p w14:paraId="525C4BAF">
      <w:pPr>
        <w:spacing w:line="360" w:lineRule="auto"/>
        <w:ind w:firstLine="960" w:firstLineChars="400"/>
        <w:rPr>
          <w:rFonts w:ascii="Times New Roman" w:hAnsi="Times New Roman" w:eastAsia="宋体" w:cs="Times New Roman"/>
          <w:sz w:val="24"/>
          <w:szCs w:val="28"/>
        </w:rPr>
      </w:pPr>
      <w:r>
        <w:rPr>
          <w:rFonts w:ascii="Times New Roman" w:hAnsi="Times New Roman" w:eastAsia="宋体" w:cs="Times New Roman"/>
          <w:i/>
          <w:iCs/>
          <w:sz w:val="24"/>
          <w:szCs w:val="28"/>
        </w:rPr>
        <w:t>E</w:t>
      </w:r>
      <w:r>
        <w:rPr>
          <w:rFonts w:hint="eastAsia" w:cs="Times New Roman"/>
          <w:i/>
          <w:iCs/>
          <w:sz w:val="24"/>
          <w:szCs w:val="28"/>
          <w:lang w:val="en-US" w:eastAsia="zh-CN"/>
        </w:rPr>
        <w:t xml:space="preserve">  </w:t>
      </w:r>
      <w:r>
        <w:rPr>
          <w:rFonts w:ascii="Times New Roman" w:hAnsi="Times New Roman" w:eastAsia="宋体" w:cs="Times New Roman"/>
          <w:sz w:val="24"/>
          <w:szCs w:val="28"/>
        </w:rPr>
        <w:t>——</w:t>
      </w:r>
      <w:r>
        <w:rPr>
          <w:rFonts w:hint="eastAsia" w:ascii="Times New Roman" w:hAnsi="Times New Roman" w:eastAsia="宋体" w:cs="Times New Roman"/>
          <w:sz w:val="24"/>
          <w:szCs w:val="28"/>
        </w:rPr>
        <w:t>化石燃料的碳排放因子；</w:t>
      </w:r>
    </w:p>
    <w:p w14:paraId="39D0654C">
      <w:pPr>
        <w:spacing w:line="360" w:lineRule="auto"/>
        <w:ind w:firstLine="480" w:firstLineChars="200"/>
        <w:rPr>
          <w:rFonts w:ascii="Times New Roman" w:hAnsi="Times New Roman" w:eastAsia="宋体" w:cs="Times New Roman"/>
          <w:sz w:val="24"/>
          <w:szCs w:val="28"/>
        </w:rPr>
      </w:pPr>
      <w:r>
        <w:rPr>
          <w:rFonts w:ascii="Times New Roman" w:hAnsi="Times New Roman" w:eastAsia="宋体" w:cs="Times New Roman"/>
          <w:i/>
          <w:iCs/>
          <w:sz w:val="24"/>
          <w:szCs w:val="28"/>
        </w:rPr>
        <w:t>u</w:t>
      </w:r>
      <w:r>
        <w:rPr>
          <w:rFonts w:hint="eastAsia" w:ascii="Times New Roman" w:hAnsi="Times New Roman" w:eastAsia="宋体" w:cs="Times New Roman"/>
          <w:i/>
          <w:iCs/>
          <w:sz w:val="24"/>
          <w:szCs w:val="28"/>
        </w:rPr>
        <w:t>（</w:t>
      </w:r>
      <w:r>
        <w:rPr>
          <w:rFonts w:ascii="Times New Roman" w:hAnsi="Times New Roman" w:eastAsia="宋体" w:cs="Times New Roman"/>
          <w:i/>
          <w:iCs/>
          <w:sz w:val="24"/>
          <w:szCs w:val="28"/>
        </w:rPr>
        <w:t>C</w:t>
      </w:r>
      <w:r>
        <w:rPr>
          <w:rFonts w:hint="eastAsia" w:ascii="Times New Roman" w:hAnsi="Times New Roman" w:eastAsia="宋体" w:cs="Times New Roman"/>
          <w:i/>
          <w:iCs/>
          <w:sz w:val="24"/>
          <w:szCs w:val="28"/>
        </w:rPr>
        <w:t>）</w:t>
      </w:r>
      <w:r>
        <w:rPr>
          <w:rFonts w:ascii="Times New Roman" w:hAnsi="Times New Roman" w:eastAsia="宋体" w:cs="Times New Roman"/>
          <w:sz w:val="24"/>
          <w:szCs w:val="28"/>
        </w:rPr>
        <w:t>——</w:t>
      </w:r>
      <w:r>
        <w:rPr>
          <w:rFonts w:hint="eastAsia" w:ascii="Times New Roman" w:hAnsi="Times New Roman" w:eastAsia="宋体" w:cs="Times New Roman"/>
          <w:sz w:val="24"/>
          <w:szCs w:val="28"/>
        </w:rPr>
        <w:t>化石燃料单位发热量含碳量的标准不确定度；</w:t>
      </w:r>
    </w:p>
    <w:p w14:paraId="0ACADD98">
      <w:pPr>
        <w:spacing w:line="360" w:lineRule="auto"/>
        <w:ind w:left="408" w:leftChars="170"/>
        <w:rPr>
          <w:rFonts w:ascii="Times New Roman" w:hAnsi="Times New Roman" w:eastAsia="宋体" w:cs="Times New Roman"/>
          <w:sz w:val="24"/>
          <w:szCs w:val="28"/>
        </w:rPr>
      </w:pPr>
      <w:r>
        <w:rPr>
          <w:rFonts w:ascii="Times New Roman" w:hAnsi="Times New Roman" w:eastAsia="宋体" w:cs="Times New Roman"/>
          <w:i/>
          <w:iCs/>
          <w:sz w:val="24"/>
          <w:szCs w:val="28"/>
        </w:rPr>
        <w:t>u</w:t>
      </w:r>
      <w:r>
        <w:rPr>
          <w:rFonts w:hint="eastAsia" w:ascii="Times New Roman" w:hAnsi="Times New Roman" w:eastAsia="宋体" w:cs="Times New Roman"/>
          <w:i/>
          <w:iCs/>
          <w:sz w:val="24"/>
          <w:szCs w:val="28"/>
        </w:rPr>
        <w:t>（</w:t>
      </w:r>
      <w:r>
        <w:rPr>
          <w:rFonts w:ascii="Times New Roman" w:hAnsi="Times New Roman" w:eastAsia="宋体" w:cs="Times New Roman"/>
          <w:i/>
          <w:iCs/>
          <w:sz w:val="24"/>
          <w:szCs w:val="28"/>
        </w:rPr>
        <w:t>OF</w:t>
      </w:r>
      <w:r>
        <w:rPr>
          <w:rFonts w:hint="eastAsia" w:ascii="Times New Roman" w:hAnsi="Times New Roman" w:eastAsia="宋体" w:cs="Times New Roman"/>
          <w:i/>
          <w:iCs/>
          <w:sz w:val="24"/>
          <w:szCs w:val="28"/>
        </w:rPr>
        <w:t>）</w:t>
      </w:r>
      <w:r>
        <w:rPr>
          <w:rFonts w:ascii="Times New Roman" w:hAnsi="Times New Roman" w:eastAsia="宋体" w:cs="Times New Roman"/>
          <w:sz w:val="24"/>
          <w:szCs w:val="28"/>
        </w:rPr>
        <w:t>——</w:t>
      </w:r>
      <w:r>
        <w:rPr>
          <w:rFonts w:hint="eastAsia" w:ascii="Times New Roman" w:hAnsi="Times New Roman" w:eastAsia="宋体" w:cs="Times New Roman"/>
          <w:sz w:val="24"/>
          <w:szCs w:val="28"/>
        </w:rPr>
        <w:t>化石燃料碳氧化率的标准不确定度。</w:t>
      </w:r>
    </w:p>
    <w:p w14:paraId="23A3C08D">
      <w:pPr>
        <w:spacing w:line="360" w:lineRule="auto"/>
        <w:ind w:firstLine="480" w:firstLineChars="200"/>
        <w:rPr>
          <w:rFonts w:ascii="Times New Roman" w:hAnsi="Times New Roman" w:eastAsia="宋体" w:cs="Times New Roman"/>
          <w:sz w:val="24"/>
          <w:szCs w:val="28"/>
        </w:rPr>
      </w:pPr>
      <w:r>
        <w:rPr>
          <w:rFonts w:hint="eastAsia" w:ascii="Times New Roman" w:hAnsi="Times New Roman" w:eastAsia="宋体" w:cs="Times New Roman"/>
          <w:sz w:val="24"/>
          <w:szCs w:val="28"/>
        </w:rPr>
        <w:t>当以煤炭为燃料时，需考虑煤炭采样不均匀引起的不确定度。</w:t>
      </w:r>
    </w:p>
    <w:p w14:paraId="5C1E9AC4">
      <w:pPr>
        <w:spacing w:line="360" w:lineRule="auto"/>
        <w:ind w:firstLine="480" w:firstLineChars="200"/>
        <w:rPr>
          <w:rFonts w:ascii="Times New Roman" w:hAnsi="Times New Roman" w:eastAsia="宋体" w:cs="Times New Roman"/>
          <w:sz w:val="24"/>
          <w:szCs w:val="28"/>
        </w:rPr>
      </w:pPr>
      <w:r>
        <w:rPr>
          <w:rFonts w:hint="eastAsia" w:ascii="Times New Roman" w:hAnsi="Times New Roman" w:eastAsia="宋体" w:cs="Times New Roman"/>
          <w:sz w:val="24"/>
          <w:szCs w:val="28"/>
        </w:rPr>
        <w:t>煤的单位发热量含碳量相对不确定度按式（</w:t>
      </w:r>
      <w:r>
        <w:rPr>
          <w:rFonts w:ascii="Times New Roman" w:hAnsi="Times New Roman" w:eastAsia="宋体" w:cs="Times New Roman"/>
          <w:sz w:val="24"/>
          <w:szCs w:val="28"/>
        </w:rPr>
        <w:t>D-5</w:t>
      </w:r>
      <w:r>
        <w:rPr>
          <w:rFonts w:hint="eastAsia" w:ascii="Times New Roman" w:hAnsi="Times New Roman" w:eastAsia="宋体" w:cs="Times New Roman"/>
          <w:sz w:val="24"/>
          <w:szCs w:val="28"/>
        </w:rPr>
        <w:t>）计算：</w:t>
      </w:r>
    </w:p>
    <w:p w14:paraId="1D243E3A">
      <w:pPr>
        <w:pStyle w:val="39"/>
      </w:pPr>
      <w:r>
        <w:tab/>
      </w:r>
      <w:r>
        <w:rPr>
          <w:position w:val="-24"/>
        </w:rPr>
        <w:object>
          <v:shape id="_x0000_i1036" o:spt="75" type="#_x0000_t75" style="height:31.05pt;width:223.25pt;" o:ole="t" filled="f" o:preferrelative="t" stroked="f" coordsize="21600,21600">
            <v:path/>
            <v:fill on="f" focussize="0,0"/>
            <v:stroke on="f" joinstyle="miter"/>
            <v:imagedata r:id="rId40" o:title=""/>
            <o:lock v:ext="edit" aspectratio="t"/>
            <w10:wrap type="none"/>
            <w10:anchorlock/>
          </v:shape>
          <o:OLEObject Type="Embed" ProgID="Equation.DSMT4" ShapeID="_x0000_i1036" DrawAspect="Content" ObjectID="_1468075736" r:id="rId39">
            <o:LockedField>false</o:LockedField>
          </o:OLEObject>
        </w:object>
      </w:r>
      <w:r>
        <w:t xml:space="preserve"> </w:t>
      </w:r>
      <w:r>
        <w:tab/>
      </w:r>
      <w:r>
        <w:fldChar w:fldCharType="begin"/>
      </w:r>
      <w:r>
        <w:instrText xml:space="preserve"> MACROBUTTON MTPlaceRef \* MERGEFORMAT </w:instrText>
      </w:r>
      <w:r>
        <w:fldChar w:fldCharType="begin"/>
      </w:r>
      <w:r>
        <w:instrText xml:space="preserve"> SEQ MTEqn \h \* MERGEFORMAT </w:instrText>
      </w:r>
      <w:r>
        <w:fldChar w:fldCharType="end"/>
      </w:r>
      <w:r>
        <w:instrText xml:space="preserve">(D-5)</w:instrText>
      </w:r>
      <w:r>
        <w:fldChar w:fldCharType="end"/>
      </w:r>
    </w:p>
    <w:p w14:paraId="2DA37084">
      <w:pPr>
        <w:spacing w:line="360" w:lineRule="auto"/>
        <w:ind w:firstLine="480" w:firstLineChars="200"/>
        <w:rPr>
          <w:rFonts w:ascii="Times New Roman" w:hAnsi="Times New Roman" w:eastAsia="宋体" w:cs="Times New Roman"/>
          <w:sz w:val="24"/>
          <w:szCs w:val="28"/>
        </w:rPr>
      </w:pPr>
      <w:r>
        <w:rPr>
          <w:rFonts w:hint="eastAsia" w:ascii="Times New Roman" w:hAnsi="Times New Roman" w:eastAsia="宋体" w:cs="Times New Roman"/>
          <w:sz w:val="24"/>
          <w:szCs w:val="28"/>
        </w:rPr>
        <w:t>式中：</w:t>
      </w:r>
    </w:p>
    <w:p w14:paraId="72203AC9">
      <w:pPr>
        <w:spacing w:line="360" w:lineRule="auto"/>
        <w:ind w:firstLine="480" w:firstLineChars="200"/>
        <w:rPr>
          <w:rFonts w:ascii="Times New Roman" w:hAnsi="Times New Roman" w:eastAsia="宋体" w:cs="Times New Roman"/>
          <w:sz w:val="24"/>
          <w:szCs w:val="28"/>
        </w:rPr>
      </w:pPr>
      <w:r>
        <w:rPr>
          <w:rFonts w:ascii="Times New Roman" w:hAnsi="Times New Roman" w:eastAsia="宋体" w:cs="Times New Roman"/>
          <w:i/>
          <w:iCs/>
          <w:sz w:val="24"/>
          <w:szCs w:val="28"/>
        </w:rPr>
        <w:t>C</w:t>
      </w:r>
      <w:r>
        <w:rPr>
          <w:rFonts w:ascii="Times New Roman" w:hAnsi="Times New Roman" w:eastAsia="宋体" w:cs="Times New Roman"/>
          <w:sz w:val="24"/>
          <w:szCs w:val="28"/>
        </w:rPr>
        <w:t>——</w:t>
      </w:r>
      <w:r>
        <w:rPr>
          <w:rFonts w:hint="eastAsia" w:ascii="Times New Roman" w:hAnsi="Times New Roman" w:eastAsia="宋体" w:cs="Times New Roman"/>
          <w:sz w:val="24"/>
          <w:szCs w:val="28"/>
        </w:rPr>
        <w:t>煤炭的单位发热量含碳量；</w:t>
      </w:r>
    </w:p>
    <w:p w14:paraId="597C321F">
      <w:pPr>
        <w:spacing w:line="360" w:lineRule="auto"/>
        <w:ind w:left="264" w:leftChars="110"/>
        <w:rPr>
          <w:rFonts w:ascii="Times New Roman" w:hAnsi="Times New Roman" w:eastAsia="宋体" w:cs="Times New Roman"/>
          <w:sz w:val="24"/>
          <w:szCs w:val="28"/>
        </w:rPr>
      </w:pPr>
      <w:r>
        <w:rPr>
          <w:rFonts w:ascii="Times New Roman" w:hAnsi="Times New Roman" w:eastAsia="宋体" w:cs="Times New Roman"/>
          <w:i/>
          <w:iCs/>
          <w:sz w:val="24"/>
          <w:szCs w:val="28"/>
        </w:rPr>
        <w:t>u</w:t>
      </w:r>
      <w:r>
        <w:rPr>
          <w:rFonts w:hint="eastAsia" w:ascii="Times New Roman" w:hAnsi="Times New Roman" w:eastAsia="宋体" w:cs="Times New Roman"/>
          <w:sz w:val="24"/>
          <w:szCs w:val="28"/>
          <w:vertAlign w:val="subscript"/>
        </w:rPr>
        <w:t>碳采</w:t>
      </w:r>
      <w:r>
        <w:rPr>
          <w:rFonts w:ascii="Times New Roman" w:hAnsi="Times New Roman" w:eastAsia="宋体" w:cs="Times New Roman"/>
          <w:sz w:val="24"/>
          <w:szCs w:val="28"/>
        </w:rPr>
        <w:t>——</w:t>
      </w:r>
      <w:r>
        <w:rPr>
          <w:rFonts w:hint="eastAsia" w:ascii="Times New Roman" w:hAnsi="Times New Roman" w:eastAsia="宋体" w:cs="Times New Roman"/>
          <w:sz w:val="24"/>
          <w:szCs w:val="28"/>
        </w:rPr>
        <w:t>煤炭采样引起的含碳量测定相对不确定度；</w:t>
      </w:r>
    </w:p>
    <w:p w14:paraId="0C9BA7E8">
      <w:pPr>
        <w:spacing w:line="360" w:lineRule="auto"/>
        <w:ind w:left="264" w:leftChars="110"/>
        <w:rPr>
          <w:rFonts w:ascii="Times New Roman" w:hAnsi="Times New Roman" w:eastAsia="宋体" w:cs="Times New Roman"/>
          <w:sz w:val="24"/>
          <w:szCs w:val="28"/>
        </w:rPr>
      </w:pPr>
      <w:r>
        <w:rPr>
          <w:rFonts w:ascii="Times New Roman" w:hAnsi="Times New Roman" w:eastAsia="宋体" w:cs="Times New Roman"/>
          <w:i/>
          <w:iCs/>
          <w:sz w:val="24"/>
          <w:szCs w:val="28"/>
        </w:rPr>
        <w:t>u</w:t>
      </w:r>
      <w:r>
        <w:rPr>
          <w:rFonts w:hint="eastAsia" w:ascii="Times New Roman" w:hAnsi="Times New Roman" w:eastAsia="宋体" w:cs="Times New Roman"/>
          <w:sz w:val="24"/>
          <w:szCs w:val="28"/>
          <w:vertAlign w:val="subscript"/>
        </w:rPr>
        <w:t>碳测</w:t>
      </w:r>
      <w:r>
        <w:rPr>
          <w:rFonts w:ascii="Times New Roman" w:hAnsi="Times New Roman" w:eastAsia="宋体" w:cs="Times New Roman"/>
          <w:sz w:val="24"/>
          <w:szCs w:val="28"/>
        </w:rPr>
        <w:t>——</w:t>
      </w:r>
      <w:r>
        <w:rPr>
          <w:rFonts w:hint="eastAsia" w:ascii="Times New Roman" w:hAnsi="Times New Roman" w:eastAsia="宋体" w:cs="Times New Roman"/>
          <w:sz w:val="24"/>
          <w:szCs w:val="28"/>
        </w:rPr>
        <w:t>煤炭样品含碳量测量的相对不确定度。</w:t>
      </w:r>
    </w:p>
    <w:p w14:paraId="4A851E30">
      <w:pPr>
        <w:spacing w:line="360" w:lineRule="auto"/>
        <w:ind w:firstLine="480" w:firstLineChars="200"/>
        <w:rPr>
          <w:rFonts w:ascii="Times New Roman" w:hAnsi="Times New Roman" w:eastAsia="宋体" w:cs="Times New Roman"/>
          <w:sz w:val="24"/>
          <w:szCs w:val="28"/>
        </w:rPr>
      </w:pPr>
      <w:r>
        <w:rPr>
          <w:rFonts w:hint="eastAsia" w:ascii="Times New Roman" w:hAnsi="Times New Roman" w:eastAsia="宋体" w:cs="Times New Roman"/>
          <w:sz w:val="24"/>
          <w:szCs w:val="28"/>
        </w:rPr>
        <w:t>煤炭采样引起的含碳量测定相对不确定度计算公式参考（D</w:t>
      </w:r>
      <w:r>
        <w:rPr>
          <w:rFonts w:ascii="Times New Roman" w:hAnsi="Times New Roman" w:eastAsia="宋体" w:cs="Times New Roman"/>
          <w:sz w:val="24"/>
          <w:szCs w:val="28"/>
        </w:rPr>
        <w:t>-3</w:t>
      </w:r>
      <w:r>
        <w:rPr>
          <w:rFonts w:hint="eastAsia" w:ascii="Times New Roman" w:hAnsi="Times New Roman" w:eastAsia="宋体" w:cs="Times New Roman"/>
          <w:sz w:val="24"/>
          <w:szCs w:val="28"/>
        </w:rPr>
        <w:t>），其他化石燃料的含碳量不确定度可不考虑采样的不确定度的影响。</w:t>
      </w:r>
    </w:p>
    <w:p w14:paraId="6FE3E609">
      <w:pPr>
        <w:spacing w:line="360" w:lineRule="auto"/>
        <w:rPr>
          <w:rFonts w:ascii="Times New Roman" w:hAnsi="Times New Roman" w:eastAsia="宋体" w:cs="Times New Roman"/>
          <w:sz w:val="24"/>
          <w:szCs w:val="28"/>
        </w:rPr>
      </w:pPr>
      <w:r>
        <w:rPr>
          <w:rFonts w:ascii="Times New Roman" w:hAnsi="Times New Roman" w:eastAsia="宋体" w:cs="Times New Roman"/>
          <w:sz w:val="24"/>
          <w:szCs w:val="28"/>
        </w:rPr>
        <w:t>D.2.2其他</w:t>
      </w:r>
      <w:r>
        <w:rPr>
          <w:rFonts w:hint="eastAsia" w:ascii="Times New Roman" w:hAnsi="Times New Roman" w:eastAsia="宋体" w:cs="Times New Roman"/>
          <w:sz w:val="24"/>
          <w:szCs w:val="28"/>
        </w:rPr>
        <w:t>碳</w:t>
      </w:r>
      <w:r>
        <w:rPr>
          <w:rFonts w:ascii="Times New Roman" w:hAnsi="Times New Roman" w:eastAsia="宋体" w:cs="Times New Roman"/>
          <w:sz w:val="24"/>
          <w:szCs w:val="28"/>
        </w:rPr>
        <w:t>排放因子</w:t>
      </w:r>
    </w:p>
    <w:p w14:paraId="14FCD5DE">
      <w:pPr>
        <w:spacing w:line="360" w:lineRule="auto"/>
        <w:ind w:firstLine="480" w:firstLineChars="200"/>
        <w:rPr>
          <w:rFonts w:ascii="Times New Roman" w:hAnsi="Times New Roman" w:eastAsia="宋体" w:cs="Times New Roman"/>
          <w:sz w:val="24"/>
          <w:szCs w:val="28"/>
        </w:rPr>
      </w:pPr>
      <w:r>
        <w:rPr>
          <w:rFonts w:hint="eastAsia" w:ascii="Times New Roman" w:hAnsi="Times New Roman" w:eastAsia="宋体" w:cs="Times New Roman"/>
          <w:sz w:val="24"/>
          <w:szCs w:val="28"/>
        </w:rPr>
        <w:t>过程排放及净购入电力、热力排放使用的碳排放因子采用默认值，该部分不确定度不进行评定。</w:t>
      </w:r>
    </w:p>
    <w:p w14:paraId="42A55D05">
      <w:pPr>
        <w:spacing w:line="360" w:lineRule="auto"/>
        <w:rPr>
          <w:rFonts w:ascii="Times New Roman" w:hAnsi="Times New Roman" w:eastAsia="宋体" w:cs="Times New Roman"/>
          <w:sz w:val="24"/>
          <w:szCs w:val="28"/>
        </w:rPr>
      </w:pPr>
      <w:r>
        <w:rPr>
          <w:rFonts w:ascii="Times New Roman" w:hAnsi="Times New Roman" w:eastAsia="宋体" w:cs="Times New Roman"/>
          <w:sz w:val="24"/>
          <w:szCs w:val="28"/>
        </w:rPr>
        <w:t>D.3</w:t>
      </w:r>
      <w:r>
        <w:rPr>
          <w:rFonts w:hint="eastAsia" w:ascii="Times New Roman" w:hAnsi="Times New Roman" w:eastAsia="宋体" w:cs="Times New Roman"/>
          <w:sz w:val="24"/>
          <w:szCs w:val="28"/>
        </w:rPr>
        <w:t>排放量的扩展不确定度</w:t>
      </w:r>
    </w:p>
    <w:p w14:paraId="5CEE6B92">
      <w:pPr>
        <w:spacing w:line="360" w:lineRule="auto"/>
        <w:ind w:firstLine="480" w:firstLineChars="200"/>
        <w:rPr>
          <w:sz w:val="24"/>
          <w:szCs w:val="28"/>
        </w:rPr>
      </w:pPr>
      <w:bookmarkStart w:id="127" w:name="_Hlk167294009"/>
      <w:r>
        <w:rPr>
          <w:rFonts w:hint="eastAsia" w:ascii="Times New Roman" w:hAnsi="Times New Roman" w:eastAsia="宋体" w:cs="Times New Roman"/>
          <w:sz w:val="24"/>
          <w:szCs w:val="28"/>
        </w:rPr>
        <w:t>总碳排放量的合成标准不确定度</w:t>
      </w:r>
      <w:bookmarkEnd w:id="127"/>
      <w:r>
        <w:rPr>
          <w:rFonts w:hint="eastAsia" w:ascii="Times New Roman" w:hAnsi="Times New Roman" w:eastAsia="宋体" w:cs="Times New Roman"/>
          <w:sz w:val="24"/>
          <w:szCs w:val="28"/>
        </w:rPr>
        <w:t>按式（</w:t>
      </w:r>
      <w:r>
        <w:rPr>
          <w:rFonts w:ascii="Times New Roman" w:hAnsi="Times New Roman" w:eastAsia="宋体" w:cs="Times New Roman"/>
          <w:sz w:val="24"/>
          <w:szCs w:val="28"/>
        </w:rPr>
        <w:t>D-6</w:t>
      </w:r>
      <w:r>
        <w:rPr>
          <w:rFonts w:hint="eastAsia" w:ascii="Times New Roman" w:hAnsi="Times New Roman" w:eastAsia="宋体" w:cs="Times New Roman"/>
          <w:sz w:val="24"/>
          <w:szCs w:val="28"/>
        </w:rPr>
        <w:t>）计算。</w:t>
      </w:r>
    </w:p>
    <w:p w14:paraId="41A1A950">
      <w:pPr>
        <w:pStyle w:val="39"/>
      </w:pPr>
      <w:r>
        <w:tab/>
      </w:r>
      <w:r>
        <w:rPr>
          <w:position w:val="-16"/>
        </w:rPr>
        <w:object>
          <v:shape id="_x0000_i1037" o:spt="75" type="#_x0000_t75" style="height:26.4pt;width:227.9pt;" o:ole="t" filled="f" o:preferrelative="t" stroked="f" coordsize="21600,21600">
            <v:path/>
            <v:fill on="f" focussize="0,0"/>
            <v:stroke on="f" joinstyle="miter"/>
            <v:imagedata r:id="rId42" o:title=""/>
            <o:lock v:ext="edit" aspectratio="t"/>
            <w10:wrap type="none"/>
            <w10:anchorlock/>
          </v:shape>
          <o:OLEObject Type="Embed" ProgID="Equation.DSMT4" ShapeID="_x0000_i1037" DrawAspect="Content" ObjectID="_1468075737" r:id="rId41">
            <o:LockedField>false</o:LockedField>
          </o:OLEObject>
        </w:object>
      </w:r>
      <w:r>
        <w:t xml:space="preserve"> </w:t>
      </w:r>
      <w:r>
        <w:tab/>
      </w:r>
      <w:r>
        <w:fldChar w:fldCharType="begin"/>
      </w:r>
      <w:r>
        <w:instrText xml:space="preserve"> MACROBUTTON MTPlaceRef \* MERGEFORMAT </w:instrText>
      </w:r>
      <w:r>
        <w:fldChar w:fldCharType="begin"/>
      </w:r>
      <w:r>
        <w:instrText xml:space="preserve"> SEQ MTEqn \h \* MERGEFORMAT </w:instrText>
      </w:r>
      <w:r>
        <w:fldChar w:fldCharType="end"/>
      </w:r>
      <w:r>
        <w:instrText xml:space="preserve">(D-6)</w:instrText>
      </w:r>
      <w:r>
        <w:fldChar w:fldCharType="end"/>
      </w:r>
    </w:p>
    <w:p w14:paraId="016C3965">
      <w:pPr>
        <w:spacing w:line="360" w:lineRule="auto"/>
        <w:ind w:firstLine="480" w:firstLineChars="200"/>
        <w:rPr>
          <w:rFonts w:ascii="Times New Roman" w:hAnsi="Times New Roman" w:eastAsia="宋体" w:cs="Times New Roman"/>
          <w:sz w:val="24"/>
          <w:szCs w:val="28"/>
        </w:rPr>
      </w:pPr>
      <w:r>
        <w:rPr>
          <w:rFonts w:hint="eastAsia" w:ascii="Times New Roman" w:hAnsi="Times New Roman" w:eastAsia="宋体" w:cs="Times New Roman"/>
          <w:sz w:val="24"/>
          <w:szCs w:val="28"/>
        </w:rPr>
        <w:t>式中：</w:t>
      </w:r>
    </w:p>
    <w:p w14:paraId="2FE29030">
      <w:pPr>
        <w:spacing w:line="360" w:lineRule="auto"/>
        <w:ind w:firstLine="480" w:firstLineChars="200"/>
        <w:rPr>
          <w:rFonts w:ascii="Times New Roman" w:hAnsi="Times New Roman" w:eastAsia="宋体" w:cs="Times New Roman"/>
          <w:sz w:val="24"/>
          <w:szCs w:val="28"/>
        </w:rPr>
      </w:pPr>
      <w:r>
        <w:rPr>
          <w:rFonts w:ascii="Times New Roman" w:hAnsi="Times New Roman" w:eastAsia="宋体" w:cs="Times New Roman"/>
          <w:i/>
          <w:iCs/>
          <w:sz w:val="24"/>
          <w:szCs w:val="28"/>
        </w:rPr>
        <w:t>u</w:t>
      </w:r>
      <w:r>
        <w:rPr>
          <w:rFonts w:hint="eastAsia" w:ascii="Times New Roman" w:hAnsi="Times New Roman" w:eastAsia="宋体" w:cs="Times New Roman"/>
          <w:sz w:val="24"/>
          <w:szCs w:val="28"/>
        </w:rPr>
        <w:t>（</w:t>
      </w:r>
      <w:r>
        <w:rPr>
          <w:rFonts w:ascii="Times New Roman" w:hAnsi="Times New Roman" w:eastAsia="宋体" w:cs="Times New Roman"/>
          <w:i/>
          <w:iCs/>
          <w:sz w:val="24"/>
          <w:szCs w:val="28"/>
        </w:rPr>
        <w:t>T</w:t>
      </w:r>
      <w:r>
        <w:rPr>
          <w:rFonts w:hint="eastAsia" w:ascii="Times New Roman" w:hAnsi="Times New Roman" w:eastAsia="宋体" w:cs="Times New Roman"/>
          <w:sz w:val="24"/>
          <w:szCs w:val="28"/>
        </w:rPr>
        <w:t>）</w:t>
      </w:r>
      <w:r>
        <w:rPr>
          <w:rFonts w:ascii="Times New Roman" w:hAnsi="Times New Roman" w:eastAsia="宋体" w:cs="Times New Roman"/>
          <w:sz w:val="24"/>
          <w:szCs w:val="28"/>
        </w:rPr>
        <w:t>——</w:t>
      </w:r>
      <w:r>
        <w:rPr>
          <w:rFonts w:hint="eastAsia" w:ascii="Times New Roman" w:hAnsi="Times New Roman" w:eastAsia="宋体" w:cs="Times New Roman"/>
          <w:sz w:val="24"/>
          <w:szCs w:val="28"/>
        </w:rPr>
        <w:t>总碳排放量的合成标准不确定度；</w:t>
      </w:r>
    </w:p>
    <w:p w14:paraId="21C259A2">
      <w:pPr>
        <w:spacing w:line="360" w:lineRule="auto"/>
        <w:ind w:left="360" w:leftChars="150"/>
        <w:rPr>
          <w:rFonts w:ascii="Times New Roman" w:hAnsi="Times New Roman" w:eastAsia="宋体" w:cs="Times New Roman"/>
          <w:sz w:val="24"/>
          <w:szCs w:val="28"/>
        </w:rPr>
      </w:pPr>
      <w:r>
        <w:rPr>
          <w:rFonts w:ascii="Times New Roman" w:hAnsi="Times New Roman" w:eastAsia="宋体" w:cs="Times New Roman"/>
          <w:i/>
          <w:iCs/>
          <w:sz w:val="24"/>
          <w:szCs w:val="28"/>
        </w:rPr>
        <w:t>u</w:t>
      </w:r>
      <w:r>
        <w:rPr>
          <w:rFonts w:hint="eastAsia" w:ascii="Times New Roman" w:hAnsi="Times New Roman" w:eastAsia="宋体" w:cs="Times New Roman"/>
          <w:sz w:val="24"/>
          <w:szCs w:val="28"/>
        </w:rPr>
        <w:t>（</w:t>
      </w:r>
      <w:r>
        <w:rPr>
          <w:rFonts w:ascii="Times New Roman" w:hAnsi="Times New Roman" w:eastAsia="宋体" w:cs="Times New Roman"/>
          <w:i/>
          <w:iCs/>
          <w:sz w:val="24"/>
          <w:szCs w:val="28"/>
        </w:rPr>
        <w:t>T</w:t>
      </w:r>
      <w:r>
        <w:rPr>
          <w:rFonts w:hint="eastAsia" w:ascii="Times New Roman" w:hAnsi="Times New Roman" w:eastAsia="宋体" w:cs="Times New Roman"/>
          <w:sz w:val="24"/>
          <w:szCs w:val="28"/>
          <w:vertAlign w:val="subscript"/>
        </w:rPr>
        <w:t>燃</w:t>
      </w:r>
      <w:r>
        <w:rPr>
          <w:rFonts w:hint="eastAsia" w:ascii="Times New Roman" w:hAnsi="Times New Roman" w:eastAsia="宋体" w:cs="Times New Roman"/>
          <w:sz w:val="24"/>
          <w:szCs w:val="28"/>
        </w:rPr>
        <w:t>）</w:t>
      </w:r>
      <w:r>
        <w:rPr>
          <w:rFonts w:ascii="Times New Roman" w:hAnsi="Times New Roman" w:eastAsia="宋体" w:cs="Times New Roman"/>
          <w:sz w:val="24"/>
          <w:szCs w:val="28"/>
        </w:rPr>
        <w:t>——</w:t>
      </w:r>
      <w:r>
        <w:rPr>
          <w:rFonts w:hint="eastAsia" w:ascii="Times New Roman" w:hAnsi="Times New Roman" w:eastAsia="宋体" w:cs="Times New Roman"/>
          <w:sz w:val="24"/>
          <w:szCs w:val="28"/>
        </w:rPr>
        <w:t>化石燃料燃烧碳排放量的标准不确定度；</w:t>
      </w:r>
    </w:p>
    <w:p w14:paraId="37F552D0">
      <w:pPr>
        <w:spacing w:line="360" w:lineRule="auto"/>
        <w:ind w:left="240" w:leftChars="100"/>
        <w:rPr>
          <w:rFonts w:ascii="Times New Roman" w:hAnsi="Times New Roman" w:eastAsia="宋体" w:cs="Times New Roman"/>
          <w:sz w:val="24"/>
          <w:szCs w:val="28"/>
        </w:rPr>
      </w:pPr>
      <w:r>
        <w:rPr>
          <w:rFonts w:ascii="Times New Roman" w:hAnsi="Times New Roman" w:eastAsia="宋体" w:cs="Times New Roman"/>
          <w:i/>
          <w:iCs/>
          <w:sz w:val="24"/>
          <w:szCs w:val="28"/>
        </w:rPr>
        <w:t>u</w:t>
      </w:r>
      <w:r>
        <w:rPr>
          <w:rFonts w:hint="eastAsia" w:ascii="Times New Roman" w:hAnsi="Times New Roman" w:eastAsia="宋体" w:cs="Times New Roman"/>
          <w:sz w:val="24"/>
          <w:szCs w:val="28"/>
        </w:rPr>
        <w:t>（</w:t>
      </w:r>
      <w:r>
        <w:rPr>
          <w:rFonts w:hint="eastAsia" w:ascii="Times New Roman" w:hAnsi="Times New Roman" w:eastAsia="宋体" w:cs="Times New Roman"/>
          <w:i/>
          <w:iCs/>
          <w:sz w:val="24"/>
          <w:szCs w:val="28"/>
        </w:rPr>
        <w:t>T</w:t>
      </w:r>
      <w:r>
        <w:rPr>
          <w:rFonts w:hint="eastAsia" w:ascii="Times New Roman" w:hAnsi="Times New Roman" w:eastAsia="宋体" w:cs="Times New Roman"/>
          <w:sz w:val="24"/>
          <w:szCs w:val="28"/>
          <w:vertAlign w:val="subscript"/>
        </w:rPr>
        <w:t>过程</w:t>
      </w:r>
      <w:r>
        <w:rPr>
          <w:rFonts w:hint="eastAsia" w:ascii="Times New Roman" w:hAnsi="Times New Roman" w:eastAsia="宋体" w:cs="Times New Roman"/>
          <w:sz w:val="24"/>
          <w:szCs w:val="28"/>
        </w:rPr>
        <w:t>）</w:t>
      </w:r>
      <w:r>
        <w:rPr>
          <w:rFonts w:ascii="Times New Roman" w:hAnsi="Times New Roman" w:eastAsia="宋体" w:cs="Times New Roman"/>
          <w:sz w:val="24"/>
          <w:szCs w:val="28"/>
        </w:rPr>
        <w:t>——</w:t>
      </w:r>
      <w:r>
        <w:rPr>
          <w:rFonts w:hint="eastAsia" w:ascii="Times New Roman" w:hAnsi="Times New Roman" w:eastAsia="宋体" w:cs="Times New Roman"/>
          <w:sz w:val="24"/>
          <w:szCs w:val="28"/>
        </w:rPr>
        <w:t>过程排放量的标准不确定度；</w:t>
      </w:r>
    </w:p>
    <w:p w14:paraId="5976C52C">
      <w:pPr>
        <w:spacing w:line="360" w:lineRule="auto"/>
        <w:ind w:left="384" w:leftChars="160"/>
        <w:rPr>
          <w:rFonts w:ascii="Times New Roman" w:hAnsi="Times New Roman" w:eastAsia="宋体" w:cs="Times New Roman"/>
          <w:sz w:val="24"/>
          <w:szCs w:val="28"/>
        </w:rPr>
      </w:pPr>
      <w:r>
        <w:rPr>
          <w:rFonts w:ascii="Times New Roman" w:hAnsi="Times New Roman" w:eastAsia="宋体" w:cs="Times New Roman"/>
          <w:i/>
          <w:iCs/>
          <w:sz w:val="24"/>
          <w:szCs w:val="28"/>
        </w:rPr>
        <w:t>u</w:t>
      </w:r>
      <w:r>
        <w:rPr>
          <w:rFonts w:hint="eastAsia" w:ascii="Times New Roman" w:hAnsi="Times New Roman" w:eastAsia="宋体" w:cs="Times New Roman"/>
          <w:sz w:val="24"/>
          <w:szCs w:val="28"/>
        </w:rPr>
        <w:t>（</w:t>
      </w:r>
      <w:r>
        <w:rPr>
          <w:rFonts w:hint="eastAsia" w:ascii="Times New Roman" w:hAnsi="Times New Roman" w:eastAsia="宋体" w:cs="Times New Roman"/>
          <w:i/>
          <w:iCs/>
          <w:sz w:val="24"/>
          <w:szCs w:val="28"/>
        </w:rPr>
        <w:t>T</w:t>
      </w:r>
      <w:r>
        <w:rPr>
          <w:rFonts w:hint="eastAsia" w:ascii="Times New Roman" w:hAnsi="Times New Roman" w:eastAsia="宋体" w:cs="Times New Roman"/>
          <w:sz w:val="24"/>
          <w:szCs w:val="28"/>
          <w:vertAlign w:val="subscript"/>
        </w:rPr>
        <w:t>电</w:t>
      </w:r>
      <w:r>
        <w:rPr>
          <w:rFonts w:hint="eastAsia" w:ascii="Times New Roman" w:hAnsi="Times New Roman" w:eastAsia="宋体" w:cs="Times New Roman"/>
          <w:sz w:val="24"/>
          <w:szCs w:val="28"/>
        </w:rPr>
        <w:t>）</w:t>
      </w:r>
      <w:r>
        <w:rPr>
          <w:rFonts w:ascii="Times New Roman" w:hAnsi="Times New Roman" w:eastAsia="宋体" w:cs="Times New Roman"/>
          <w:sz w:val="24"/>
          <w:szCs w:val="28"/>
        </w:rPr>
        <w:t>——</w:t>
      </w:r>
      <w:r>
        <w:rPr>
          <w:rFonts w:hint="eastAsia" w:ascii="Times New Roman" w:hAnsi="Times New Roman" w:eastAsia="宋体" w:cs="Times New Roman"/>
          <w:sz w:val="24"/>
          <w:szCs w:val="28"/>
        </w:rPr>
        <w:t>净购入电力碳排放量的标准不确定度；</w:t>
      </w:r>
    </w:p>
    <w:p w14:paraId="3C7715C8">
      <w:pPr>
        <w:spacing w:line="360" w:lineRule="auto"/>
        <w:ind w:left="384" w:leftChars="160"/>
        <w:rPr>
          <w:rFonts w:ascii="Times New Roman" w:hAnsi="Times New Roman" w:eastAsia="宋体" w:cs="Times New Roman"/>
          <w:sz w:val="24"/>
          <w:szCs w:val="28"/>
        </w:rPr>
      </w:pPr>
      <w:r>
        <w:rPr>
          <w:rFonts w:ascii="Times New Roman" w:hAnsi="Times New Roman" w:eastAsia="宋体" w:cs="Times New Roman"/>
          <w:i/>
          <w:iCs/>
          <w:sz w:val="24"/>
          <w:szCs w:val="28"/>
        </w:rPr>
        <w:t>u</w:t>
      </w:r>
      <w:r>
        <w:rPr>
          <w:rFonts w:hint="eastAsia" w:ascii="Times New Roman" w:hAnsi="Times New Roman" w:eastAsia="宋体" w:cs="Times New Roman"/>
          <w:sz w:val="24"/>
          <w:szCs w:val="28"/>
        </w:rPr>
        <w:t>（</w:t>
      </w:r>
      <w:r>
        <w:rPr>
          <w:rFonts w:hint="eastAsia" w:ascii="Times New Roman" w:hAnsi="Times New Roman" w:eastAsia="宋体" w:cs="Times New Roman"/>
          <w:i/>
          <w:iCs/>
          <w:sz w:val="24"/>
          <w:szCs w:val="28"/>
        </w:rPr>
        <w:t>T</w:t>
      </w:r>
      <w:r>
        <w:rPr>
          <w:rFonts w:hint="eastAsia" w:ascii="Times New Roman" w:hAnsi="Times New Roman" w:eastAsia="宋体" w:cs="Times New Roman"/>
          <w:sz w:val="24"/>
          <w:szCs w:val="28"/>
          <w:vertAlign w:val="subscript"/>
        </w:rPr>
        <w:t>热</w:t>
      </w:r>
      <w:r>
        <w:rPr>
          <w:rFonts w:hint="eastAsia" w:ascii="Times New Roman" w:hAnsi="Times New Roman" w:eastAsia="宋体" w:cs="Times New Roman"/>
          <w:sz w:val="24"/>
          <w:szCs w:val="28"/>
        </w:rPr>
        <w:t>）</w:t>
      </w:r>
      <w:r>
        <w:rPr>
          <w:rFonts w:ascii="Times New Roman" w:hAnsi="Times New Roman" w:eastAsia="宋体" w:cs="Times New Roman"/>
          <w:sz w:val="24"/>
          <w:szCs w:val="28"/>
        </w:rPr>
        <w:t>——</w:t>
      </w:r>
      <w:r>
        <w:rPr>
          <w:rFonts w:hint="eastAsia" w:ascii="Times New Roman" w:hAnsi="Times New Roman" w:eastAsia="宋体" w:cs="Times New Roman"/>
          <w:sz w:val="24"/>
          <w:szCs w:val="28"/>
        </w:rPr>
        <w:t>净购入热力碳排放量的标准不确定度。</w:t>
      </w:r>
    </w:p>
    <w:p w14:paraId="3F8B699B">
      <w:pPr>
        <w:spacing w:line="360" w:lineRule="auto"/>
        <w:ind w:firstLine="480" w:firstLineChars="200"/>
        <w:rPr>
          <w:rFonts w:ascii="Times New Roman" w:hAnsi="Times New Roman" w:eastAsia="宋体" w:cs="Times New Roman"/>
          <w:sz w:val="24"/>
          <w:szCs w:val="28"/>
        </w:rPr>
      </w:pPr>
      <w:r>
        <w:rPr>
          <w:rFonts w:hint="eastAsia" w:ascii="Times New Roman" w:hAnsi="Times New Roman" w:eastAsia="宋体" w:cs="Times New Roman"/>
          <w:sz w:val="24"/>
          <w:szCs w:val="28"/>
        </w:rPr>
        <w:t>上述</w:t>
      </w:r>
      <w:r>
        <w:rPr>
          <w:rFonts w:ascii="Times New Roman" w:hAnsi="Times New Roman" w:eastAsia="宋体" w:cs="Times New Roman"/>
          <w:i/>
          <w:iCs/>
          <w:sz w:val="24"/>
          <w:szCs w:val="28"/>
        </w:rPr>
        <w:t>u</w:t>
      </w:r>
      <w:r>
        <w:rPr>
          <w:rFonts w:hint="eastAsia" w:ascii="Times New Roman" w:hAnsi="Times New Roman" w:eastAsia="宋体" w:cs="Times New Roman"/>
          <w:sz w:val="24"/>
          <w:szCs w:val="28"/>
        </w:rPr>
        <w:t>（</w:t>
      </w:r>
      <w:r>
        <w:rPr>
          <w:rFonts w:hint="eastAsia" w:ascii="Times New Roman" w:hAnsi="Times New Roman" w:eastAsia="宋体" w:cs="Times New Roman"/>
          <w:i/>
          <w:iCs/>
          <w:sz w:val="24"/>
          <w:szCs w:val="28"/>
        </w:rPr>
        <w:t>T</w:t>
      </w:r>
      <w:r>
        <w:rPr>
          <w:rFonts w:hint="eastAsia" w:ascii="Times New Roman" w:hAnsi="Times New Roman" w:eastAsia="宋体" w:cs="Times New Roman"/>
          <w:sz w:val="24"/>
          <w:szCs w:val="28"/>
          <w:vertAlign w:val="subscript"/>
        </w:rPr>
        <w:t>燃</w:t>
      </w:r>
      <w:r>
        <w:rPr>
          <w:rFonts w:hint="eastAsia" w:ascii="Times New Roman" w:hAnsi="Times New Roman" w:eastAsia="宋体" w:cs="Times New Roman"/>
          <w:sz w:val="24"/>
          <w:szCs w:val="28"/>
        </w:rPr>
        <w:t>）、</w:t>
      </w:r>
      <w:r>
        <w:rPr>
          <w:rFonts w:ascii="Times New Roman" w:hAnsi="Times New Roman" w:eastAsia="宋体" w:cs="Times New Roman"/>
          <w:i/>
          <w:iCs/>
          <w:sz w:val="24"/>
          <w:szCs w:val="28"/>
        </w:rPr>
        <w:t>u</w:t>
      </w:r>
      <w:r>
        <w:rPr>
          <w:rFonts w:hint="eastAsia" w:ascii="Times New Roman" w:hAnsi="Times New Roman" w:eastAsia="宋体" w:cs="Times New Roman"/>
          <w:sz w:val="24"/>
          <w:szCs w:val="28"/>
        </w:rPr>
        <w:t>（</w:t>
      </w:r>
      <w:r>
        <w:rPr>
          <w:rFonts w:hint="eastAsia" w:ascii="Times New Roman" w:hAnsi="Times New Roman" w:eastAsia="宋体" w:cs="Times New Roman"/>
          <w:i/>
          <w:iCs/>
          <w:sz w:val="24"/>
          <w:szCs w:val="28"/>
        </w:rPr>
        <w:t>T</w:t>
      </w:r>
      <w:r>
        <w:rPr>
          <w:rFonts w:hint="eastAsia" w:ascii="Times New Roman" w:hAnsi="Times New Roman" w:eastAsia="宋体" w:cs="Times New Roman"/>
          <w:sz w:val="24"/>
          <w:szCs w:val="28"/>
          <w:vertAlign w:val="subscript"/>
        </w:rPr>
        <w:t>过程</w:t>
      </w:r>
      <w:r>
        <w:rPr>
          <w:rFonts w:hint="eastAsia" w:ascii="Times New Roman" w:hAnsi="Times New Roman" w:eastAsia="宋体" w:cs="Times New Roman"/>
          <w:sz w:val="24"/>
          <w:szCs w:val="28"/>
        </w:rPr>
        <w:t>）、</w:t>
      </w:r>
      <w:r>
        <w:rPr>
          <w:rFonts w:ascii="Times New Roman" w:hAnsi="Times New Roman" w:eastAsia="宋体" w:cs="Times New Roman"/>
          <w:i/>
          <w:iCs/>
          <w:sz w:val="24"/>
          <w:szCs w:val="28"/>
        </w:rPr>
        <w:t>u</w:t>
      </w:r>
      <w:r>
        <w:rPr>
          <w:rFonts w:hint="eastAsia" w:ascii="Times New Roman" w:hAnsi="Times New Roman" w:eastAsia="宋体" w:cs="Times New Roman"/>
          <w:sz w:val="24"/>
          <w:szCs w:val="28"/>
        </w:rPr>
        <w:t>（</w:t>
      </w:r>
      <w:r>
        <w:rPr>
          <w:rFonts w:hint="eastAsia" w:ascii="Times New Roman" w:hAnsi="Times New Roman" w:eastAsia="宋体" w:cs="Times New Roman"/>
          <w:i/>
          <w:iCs/>
          <w:sz w:val="24"/>
          <w:szCs w:val="28"/>
        </w:rPr>
        <w:t>T</w:t>
      </w:r>
      <w:r>
        <w:rPr>
          <w:rFonts w:hint="eastAsia" w:ascii="Times New Roman" w:hAnsi="Times New Roman" w:eastAsia="宋体" w:cs="Times New Roman"/>
          <w:sz w:val="24"/>
          <w:szCs w:val="28"/>
          <w:vertAlign w:val="subscript"/>
        </w:rPr>
        <w:t>电</w:t>
      </w:r>
      <w:r>
        <w:rPr>
          <w:rFonts w:hint="eastAsia" w:ascii="Times New Roman" w:hAnsi="Times New Roman" w:eastAsia="宋体" w:cs="Times New Roman"/>
          <w:sz w:val="24"/>
          <w:szCs w:val="28"/>
        </w:rPr>
        <w:t>）与</w:t>
      </w:r>
      <w:r>
        <w:rPr>
          <w:rFonts w:ascii="Times New Roman" w:hAnsi="Times New Roman" w:eastAsia="宋体" w:cs="Times New Roman"/>
          <w:i/>
          <w:iCs/>
          <w:sz w:val="24"/>
          <w:szCs w:val="28"/>
        </w:rPr>
        <w:t>u</w:t>
      </w:r>
      <w:r>
        <w:rPr>
          <w:rFonts w:hint="eastAsia" w:ascii="Times New Roman" w:hAnsi="Times New Roman" w:eastAsia="宋体" w:cs="Times New Roman"/>
          <w:sz w:val="24"/>
          <w:szCs w:val="28"/>
        </w:rPr>
        <w:t>（</w:t>
      </w:r>
      <w:r>
        <w:rPr>
          <w:rFonts w:hint="eastAsia" w:ascii="Times New Roman" w:hAnsi="Times New Roman" w:eastAsia="宋体" w:cs="Times New Roman"/>
          <w:i/>
          <w:iCs/>
          <w:sz w:val="24"/>
          <w:szCs w:val="28"/>
        </w:rPr>
        <w:t>T</w:t>
      </w:r>
      <w:r>
        <w:rPr>
          <w:rFonts w:hint="eastAsia" w:ascii="Times New Roman" w:hAnsi="Times New Roman" w:eastAsia="宋体" w:cs="Times New Roman"/>
          <w:sz w:val="24"/>
          <w:szCs w:val="28"/>
          <w:vertAlign w:val="subscript"/>
        </w:rPr>
        <w:t>热</w:t>
      </w:r>
      <w:r>
        <w:rPr>
          <w:rFonts w:hint="eastAsia" w:ascii="Times New Roman" w:hAnsi="Times New Roman" w:eastAsia="宋体" w:cs="Times New Roman"/>
          <w:sz w:val="24"/>
          <w:szCs w:val="28"/>
        </w:rPr>
        <w:t>）计算公式相似，其标准不确定度计算公式也相似，以化石燃料燃烧排放量的标准不确定度为例，计算公式（D</w:t>
      </w:r>
      <w:r>
        <w:rPr>
          <w:rFonts w:ascii="Times New Roman" w:hAnsi="Times New Roman" w:eastAsia="宋体" w:cs="Times New Roman"/>
          <w:sz w:val="24"/>
          <w:szCs w:val="28"/>
        </w:rPr>
        <w:t>-7</w:t>
      </w:r>
      <w:r>
        <w:rPr>
          <w:rFonts w:hint="eastAsia" w:ascii="Times New Roman" w:hAnsi="Times New Roman" w:eastAsia="宋体" w:cs="Times New Roman"/>
          <w:sz w:val="24"/>
          <w:szCs w:val="28"/>
        </w:rPr>
        <w:t>）如下：</w:t>
      </w:r>
    </w:p>
    <w:p w14:paraId="625F31E1">
      <w:pPr>
        <w:pStyle w:val="39"/>
      </w:pPr>
      <w:r>
        <w:tab/>
      </w:r>
      <w:r>
        <w:rPr>
          <w:position w:val="-40"/>
        </w:rPr>
        <w:object>
          <v:shape id="_x0000_i1038" o:spt="75" type="#_x0000_t75" style="height:50.2pt;width:182.95pt;" o:ole="t" filled="f" o:preferrelative="t" stroked="f" coordsize="21600,21600">
            <v:path/>
            <v:fill on="f" focussize="0,0"/>
            <v:stroke on="f" joinstyle="miter"/>
            <v:imagedata r:id="rId44" o:title=""/>
            <o:lock v:ext="edit" aspectratio="t"/>
            <w10:wrap type="none"/>
            <w10:anchorlock/>
          </v:shape>
          <o:OLEObject Type="Embed" ProgID="Equation.DSMT4" ShapeID="_x0000_i1038" DrawAspect="Content" ObjectID="_1468075738" r:id="rId43">
            <o:LockedField>false</o:LockedField>
          </o:OLEObject>
        </w:object>
      </w:r>
      <w:r>
        <w:t xml:space="preserve"> </w:t>
      </w:r>
      <w:r>
        <w:tab/>
      </w:r>
      <w:r>
        <w:fldChar w:fldCharType="begin"/>
      </w:r>
      <w:r>
        <w:instrText xml:space="preserve"> MACROBUTTON MTPlaceRef \* MERGEFORMAT </w:instrText>
      </w:r>
      <w:r>
        <w:fldChar w:fldCharType="begin"/>
      </w:r>
      <w:r>
        <w:instrText xml:space="preserve"> SEQ MTEqn \h \* MERGEFORMAT </w:instrText>
      </w:r>
      <w:r>
        <w:fldChar w:fldCharType="end"/>
      </w:r>
      <w:r>
        <w:instrText xml:space="preserve">(D-7)</w:instrText>
      </w:r>
      <w:r>
        <w:fldChar w:fldCharType="end"/>
      </w:r>
    </w:p>
    <w:p w14:paraId="09BE6243">
      <w:pPr>
        <w:spacing w:line="360" w:lineRule="auto"/>
        <w:ind w:firstLine="480" w:firstLineChars="200"/>
        <w:rPr>
          <w:rFonts w:ascii="Times New Roman" w:hAnsi="Times New Roman" w:eastAsia="宋体" w:cs="Times New Roman"/>
          <w:sz w:val="24"/>
          <w:szCs w:val="28"/>
        </w:rPr>
      </w:pPr>
      <w:r>
        <w:rPr>
          <w:rFonts w:hint="eastAsia" w:ascii="Times New Roman" w:hAnsi="Times New Roman" w:eastAsia="宋体" w:cs="Times New Roman"/>
          <w:sz w:val="24"/>
          <w:szCs w:val="28"/>
        </w:rPr>
        <w:t>式中：</w:t>
      </w:r>
    </w:p>
    <w:p w14:paraId="67CC6A2C">
      <w:pPr>
        <w:spacing w:line="360" w:lineRule="auto"/>
        <w:ind w:firstLine="480" w:firstLineChars="200"/>
        <w:rPr>
          <w:rFonts w:ascii="Times New Roman" w:hAnsi="Times New Roman" w:eastAsia="宋体" w:cs="Times New Roman"/>
          <w:i/>
          <w:iCs/>
          <w:sz w:val="24"/>
          <w:szCs w:val="28"/>
        </w:rPr>
      </w:pPr>
      <w:r>
        <w:rPr>
          <w:rFonts w:ascii="Times New Roman" w:hAnsi="Times New Roman" w:eastAsia="宋体" w:cs="Times New Roman"/>
          <w:i/>
          <w:iCs/>
          <w:sz w:val="24"/>
          <w:szCs w:val="28"/>
        </w:rPr>
        <w:t>T</w:t>
      </w:r>
      <w:r>
        <w:rPr>
          <w:rFonts w:hint="eastAsia" w:ascii="Times New Roman" w:hAnsi="Times New Roman" w:eastAsia="宋体" w:cs="Times New Roman"/>
          <w:sz w:val="24"/>
          <w:szCs w:val="28"/>
          <w:vertAlign w:val="subscript"/>
        </w:rPr>
        <w:t>燃</w:t>
      </w:r>
      <w:r>
        <w:rPr>
          <w:rFonts w:ascii="Times New Roman" w:hAnsi="Times New Roman" w:eastAsia="宋体" w:cs="Times New Roman"/>
          <w:sz w:val="24"/>
          <w:szCs w:val="28"/>
        </w:rPr>
        <w:t>——</w:t>
      </w:r>
      <w:r>
        <w:rPr>
          <w:rFonts w:hint="eastAsia" w:ascii="Times New Roman" w:hAnsi="Times New Roman" w:eastAsia="宋体" w:cs="Times New Roman"/>
          <w:sz w:val="24"/>
          <w:szCs w:val="28"/>
        </w:rPr>
        <w:t>化石燃料燃烧碳排放量；</w:t>
      </w:r>
    </w:p>
    <w:p w14:paraId="2811FEEA">
      <w:pPr>
        <w:spacing w:line="360" w:lineRule="auto"/>
        <w:ind w:left="48" w:leftChars="20"/>
        <w:rPr>
          <w:rFonts w:ascii="Times New Roman" w:hAnsi="Times New Roman" w:eastAsia="宋体" w:cs="Times New Roman"/>
          <w:sz w:val="24"/>
          <w:szCs w:val="28"/>
        </w:rPr>
      </w:pPr>
      <w:r>
        <w:rPr>
          <w:rFonts w:ascii="Times New Roman" w:hAnsi="Times New Roman" w:eastAsia="宋体" w:cs="Times New Roman"/>
          <w:i/>
          <w:iCs/>
          <w:sz w:val="24"/>
          <w:szCs w:val="28"/>
        </w:rPr>
        <w:t>u</w:t>
      </w:r>
      <w:r>
        <w:rPr>
          <w:rFonts w:hint="eastAsia" w:ascii="Times New Roman" w:hAnsi="Times New Roman" w:eastAsia="宋体" w:cs="Times New Roman"/>
          <w:sz w:val="24"/>
          <w:szCs w:val="28"/>
        </w:rPr>
        <w:t>（</w:t>
      </w:r>
      <w:r>
        <w:rPr>
          <w:rFonts w:ascii="Times New Roman" w:hAnsi="Times New Roman" w:eastAsia="宋体" w:cs="Times New Roman"/>
          <w:i/>
          <w:iCs/>
          <w:sz w:val="24"/>
          <w:szCs w:val="28"/>
        </w:rPr>
        <w:t>A</w:t>
      </w:r>
      <w:r>
        <w:rPr>
          <w:rFonts w:hint="eastAsia" w:ascii="Times New Roman" w:hAnsi="Times New Roman" w:eastAsia="宋体" w:cs="Times New Roman"/>
          <w:sz w:val="24"/>
          <w:szCs w:val="28"/>
        </w:rPr>
        <w:t>）</w:t>
      </w:r>
      <w:r>
        <w:rPr>
          <w:rFonts w:ascii="Times New Roman" w:hAnsi="Times New Roman" w:eastAsia="宋体" w:cs="Times New Roman"/>
          <w:sz w:val="24"/>
          <w:szCs w:val="28"/>
        </w:rPr>
        <w:t>——</w:t>
      </w:r>
      <w:r>
        <w:rPr>
          <w:rFonts w:hint="eastAsia" w:ascii="Times New Roman" w:hAnsi="Times New Roman" w:eastAsia="宋体" w:cs="Times New Roman"/>
          <w:sz w:val="24"/>
          <w:szCs w:val="28"/>
        </w:rPr>
        <w:t>化石燃料活动数据的标准不确定度，计算方法参考（</w:t>
      </w:r>
      <w:r>
        <w:rPr>
          <w:rFonts w:ascii="Times New Roman" w:hAnsi="Times New Roman" w:eastAsia="宋体" w:cs="Times New Roman"/>
          <w:sz w:val="24"/>
          <w:szCs w:val="28"/>
        </w:rPr>
        <w:t>D-</w:t>
      </w:r>
      <w:r>
        <w:rPr>
          <w:rFonts w:hint="eastAsia" w:ascii="Times New Roman" w:hAnsi="Times New Roman" w:eastAsia="宋体" w:cs="Times New Roman"/>
          <w:sz w:val="24"/>
          <w:szCs w:val="28"/>
        </w:rPr>
        <w:t>1）；</w:t>
      </w:r>
    </w:p>
    <w:p w14:paraId="556D242F">
      <w:pPr>
        <w:spacing w:line="360" w:lineRule="auto"/>
        <w:ind w:left="48" w:leftChars="20"/>
        <w:rPr>
          <w:rFonts w:ascii="Times New Roman" w:hAnsi="Times New Roman" w:eastAsia="宋体" w:cs="Times New Roman"/>
          <w:sz w:val="24"/>
          <w:szCs w:val="28"/>
        </w:rPr>
      </w:pPr>
      <w:r>
        <w:rPr>
          <w:rFonts w:ascii="Times New Roman" w:hAnsi="Times New Roman" w:eastAsia="宋体" w:cs="Times New Roman"/>
          <w:i/>
          <w:iCs/>
          <w:sz w:val="24"/>
          <w:szCs w:val="28"/>
        </w:rPr>
        <w:t>u</w:t>
      </w:r>
      <w:r>
        <w:rPr>
          <w:rFonts w:hint="eastAsia" w:ascii="Times New Roman" w:hAnsi="Times New Roman" w:eastAsia="宋体" w:cs="Times New Roman"/>
          <w:sz w:val="24"/>
          <w:szCs w:val="28"/>
        </w:rPr>
        <w:t>（</w:t>
      </w:r>
      <w:r>
        <w:rPr>
          <w:rFonts w:ascii="Times New Roman" w:hAnsi="Times New Roman" w:eastAsia="宋体" w:cs="Times New Roman"/>
          <w:i/>
          <w:iCs/>
          <w:sz w:val="24"/>
          <w:szCs w:val="28"/>
        </w:rPr>
        <w:t>E</w:t>
      </w:r>
      <w:r>
        <w:rPr>
          <w:rFonts w:hint="eastAsia" w:ascii="Times New Roman" w:hAnsi="Times New Roman" w:eastAsia="宋体" w:cs="Times New Roman"/>
          <w:sz w:val="24"/>
          <w:szCs w:val="28"/>
        </w:rPr>
        <w:t>）</w:t>
      </w:r>
      <w:r>
        <w:rPr>
          <w:rFonts w:ascii="Times New Roman" w:hAnsi="Times New Roman" w:eastAsia="宋体" w:cs="Times New Roman"/>
          <w:sz w:val="24"/>
          <w:szCs w:val="28"/>
        </w:rPr>
        <w:t>——</w:t>
      </w:r>
      <w:r>
        <w:rPr>
          <w:rFonts w:hint="eastAsia" w:ascii="Times New Roman" w:hAnsi="Times New Roman" w:eastAsia="宋体" w:cs="Times New Roman"/>
          <w:sz w:val="24"/>
          <w:szCs w:val="28"/>
        </w:rPr>
        <w:t>化石燃料碳排放因子的标准不确定度，计算方法参考（</w:t>
      </w:r>
      <w:r>
        <w:rPr>
          <w:rFonts w:ascii="Times New Roman" w:hAnsi="Times New Roman" w:eastAsia="宋体" w:cs="Times New Roman"/>
          <w:sz w:val="24"/>
          <w:szCs w:val="28"/>
        </w:rPr>
        <w:t>D-4</w:t>
      </w:r>
      <w:r>
        <w:rPr>
          <w:rFonts w:hint="eastAsia" w:ascii="Times New Roman" w:hAnsi="Times New Roman" w:eastAsia="宋体" w:cs="Times New Roman"/>
          <w:sz w:val="24"/>
          <w:szCs w:val="28"/>
        </w:rPr>
        <w:t>）。</w:t>
      </w:r>
    </w:p>
    <w:p w14:paraId="5711FC5C">
      <w:pPr>
        <w:spacing w:line="360" w:lineRule="auto"/>
        <w:ind w:firstLine="480" w:firstLineChars="200"/>
        <w:rPr>
          <w:rFonts w:ascii="Times New Roman" w:hAnsi="Times New Roman" w:eastAsia="宋体" w:cs="Times New Roman"/>
          <w:sz w:val="24"/>
          <w:szCs w:val="28"/>
        </w:rPr>
      </w:pPr>
      <w:r>
        <w:rPr>
          <w:rFonts w:hint="eastAsia" w:ascii="Times New Roman" w:hAnsi="Times New Roman" w:eastAsia="宋体" w:cs="Times New Roman"/>
          <w:sz w:val="24"/>
          <w:szCs w:val="28"/>
        </w:rPr>
        <w:t>总排放量的相对扩展不确定度为</w:t>
      </w:r>
      <w:r>
        <w:rPr>
          <w:rFonts w:ascii="Times New Roman" w:hAnsi="Times New Roman" w:eastAsia="宋体" w:cs="Times New Roman"/>
          <w:sz w:val="24"/>
          <w:szCs w:val="28"/>
        </w:rPr>
        <w:t>2</w:t>
      </w:r>
      <w:r>
        <w:rPr>
          <w:rFonts w:ascii="Times New Roman" w:hAnsi="Times New Roman" w:eastAsia="宋体" w:cs="Times New Roman"/>
          <w:i/>
          <w:iCs/>
          <w:sz w:val="24"/>
          <w:szCs w:val="28"/>
        </w:rPr>
        <w:t>u</w:t>
      </w:r>
      <w:r>
        <w:rPr>
          <w:rFonts w:hint="eastAsia" w:ascii="Times New Roman" w:hAnsi="Times New Roman" w:eastAsia="宋体" w:cs="Times New Roman"/>
          <w:sz w:val="24"/>
          <w:szCs w:val="28"/>
        </w:rPr>
        <w:t>（</w:t>
      </w:r>
      <w:r>
        <w:rPr>
          <w:rFonts w:ascii="Times New Roman" w:hAnsi="Times New Roman" w:eastAsia="宋体" w:cs="Times New Roman"/>
          <w:i/>
          <w:iCs/>
          <w:sz w:val="24"/>
          <w:szCs w:val="28"/>
        </w:rPr>
        <w:t>T</w:t>
      </w:r>
      <w:r>
        <w:rPr>
          <w:rFonts w:hint="eastAsia" w:ascii="Times New Roman" w:hAnsi="Times New Roman" w:eastAsia="宋体" w:cs="Times New Roman"/>
          <w:sz w:val="24"/>
          <w:szCs w:val="28"/>
        </w:rPr>
        <w:t>）/</w:t>
      </w:r>
      <w:r>
        <w:rPr>
          <w:rFonts w:ascii="Times New Roman" w:hAnsi="Times New Roman" w:eastAsia="宋体" w:cs="Times New Roman"/>
          <w:i/>
          <w:iCs/>
          <w:sz w:val="24"/>
          <w:szCs w:val="28"/>
        </w:rPr>
        <w:t>T</w:t>
      </w:r>
      <w:r>
        <w:rPr>
          <w:rFonts w:ascii="Times New Roman" w:hAnsi="Times New Roman" w:eastAsia="宋体" w:cs="Times New Roman"/>
          <w:sz w:val="24"/>
          <w:szCs w:val="28"/>
        </w:rPr>
        <w:t>（</w:t>
      </w:r>
      <w:r>
        <w:rPr>
          <w:rFonts w:ascii="Times New Roman" w:hAnsi="Times New Roman" w:eastAsia="宋体" w:cs="Times New Roman"/>
          <w:i/>
          <w:iCs/>
          <w:sz w:val="24"/>
          <w:szCs w:val="28"/>
        </w:rPr>
        <w:t>k</w:t>
      </w:r>
      <w:r>
        <w:rPr>
          <w:rFonts w:ascii="Times New Roman" w:hAnsi="Times New Roman" w:eastAsia="宋体" w:cs="Times New Roman"/>
          <w:sz w:val="24"/>
          <w:szCs w:val="28"/>
        </w:rPr>
        <w:t>=2）。</w:t>
      </w:r>
    </w:p>
    <w:p w14:paraId="107C9B13">
      <w:pPr>
        <w:rPr>
          <w:rFonts w:hint="default" w:ascii="Times New Roman" w:hAnsi="Times New Roman" w:cs="Times New Roman"/>
          <w:color w:val="auto"/>
          <w:kern w:val="0"/>
          <w:szCs w:val="24"/>
        </w:rPr>
      </w:pPr>
      <w:r>
        <w:rPr>
          <w:rFonts w:hint="default" w:ascii="Times New Roman" w:hAnsi="Times New Roman" w:cs="Times New Roman"/>
          <w:color w:val="auto"/>
          <w:kern w:val="0"/>
          <w:szCs w:val="24"/>
        </w:rPr>
        <w:br w:type="page"/>
      </w:r>
    </w:p>
    <w:p w14:paraId="10F2C593">
      <w:pPr>
        <w:pStyle w:val="3"/>
        <w:spacing w:before="0" w:after="0" w:line="360" w:lineRule="auto"/>
        <w:jc w:val="left"/>
        <w:rPr>
          <w:rFonts w:ascii="黑体" w:hAnsi="黑体" w:eastAsia="黑体"/>
          <w:b w:val="0"/>
          <w:bCs w:val="0"/>
          <w:sz w:val="24"/>
          <w:szCs w:val="24"/>
        </w:rPr>
      </w:pPr>
      <w:bookmarkStart w:id="128" w:name="_Toc157701396"/>
      <w:r>
        <w:rPr>
          <w:rFonts w:hint="eastAsia" w:ascii="黑体" w:hAnsi="黑体" w:eastAsia="黑体"/>
          <w:b w:val="0"/>
          <w:bCs w:val="0"/>
          <w:sz w:val="24"/>
          <w:szCs w:val="24"/>
        </w:rPr>
        <w:t>附录</w:t>
      </w:r>
      <w:r>
        <w:rPr>
          <w:rFonts w:ascii="黑体" w:hAnsi="黑体" w:eastAsia="黑体"/>
          <w:b w:val="0"/>
          <w:bCs w:val="0"/>
          <w:sz w:val="24"/>
          <w:szCs w:val="24"/>
        </w:rPr>
        <w:t>E</w:t>
      </w:r>
      <w:bookmarkEnd w:id="128"/>
      <w:r>
        <w:rPr>
          <w:rFonts w:ascii="黑体" w:hAnsi="黑体" w:eastAsia="黑体"/>
          <w:b w:val="0"/>
          <w:bCs w:val="0"/>
          <w:sz w:val="24"/>
          <w:szCs w:val="24"/>
        </w:rPr>
        <w:t xml:space="preserve"> </w:t>
      </w:r>
    </w:p>
    <w:p w14:paraId="4C92517F">
      <w:pPr>
        <w:spacing w:line="360" w:lineRule="auto"/>
        <w:jc w:val="center"/>
        <w:rPr>
          <w:rFonts w:ascii="Times New Roman" w:hAnsi="Times New Roman" w:eastAsia="宋体" w:cs="Times New Roman"/>
          <w:sz w:val="24"/>
          <w:szCs w:val="28"/>
        </w:rPr>
      </w:pPr>
      <w:r>
        <w:rPr>
          <w:rFonts w:hint="eastAsia" w:ascii="黑体" w:hAnsi="黑体" w:eastAsia="黑体"/>
          <w:sz w:val="24"/>
          <w:szCs w:val="24"/>
        </w:rPr>
        <w:t>不确定度评估示例</w:t>
      </w:r>
    </w:p>
    <w:p w14:paraId="244D5EB6">
      <w:pPr>
        <w:spacing w:line="360" w:lineRule="auto"/>
        <w:ind w:firstLine="480" w:firstLineChars="200"/>
        <w:rPr>
          <w:rFonts w:ascii="Times New Roman" w:hAnsi="Times New Roman" w:eastAsia="宋体" w:cs="Times New Roman"/>
          <w:sz w:val="24"/>
          <w:szCs w:val="28"/>
        </w:rPr>
      </w:pPr>
      <w:r>
        <w:rPr>
          <w:rFonts w:hint="eastAsia" w:ascii="Times New Roman" w:hAnsi="Times New Roman" w:eastAsia="宋体" w:cs="Times New Roman"/>
          <w:sz w:val="24"/>
          <w:szCs w:val="28"/>
        </w:rPr>
        <w:t>某</w:t>
      </w:r>
      <w:r>
        <w:rPr>
          <w:rFonts w:hint="eastAsia" w:cs="Times New Roman"/>
          <w:sz w:val="24"/>
          <w:szCs w:val="28"/>
          <w:lang w:val="en-US" w:eastAsia="zh-CN"/>
        </w:rPr>
        <w:t>构件工厂</w:t>
      </w:r>
      <w:r>
        <w:rPr>
          <w:rFonts w:hint="eastAsia" w:ascii="Times New Roman" w:hAnsi="Times New Roman" w:eastAsia="宋体" w:cs="Times New Roman"/>
          <w:sz w:val="24"/>
          <w:szCs w:val="28"/>
        </w:rPr>
        <w:t>基本信息见表E</w:t>
      </w:r>
      <w:r>
        <w:rPr>
          <w:rFonts w:ascii="Times New Roman" w:hAnsi="Times New Roman" w:eastAsia="宋体" w:cs="Times New Roman"/>
          <w:sz w:val="24"/>
          <w:szCs w:val="28"/>
        </w:rPr>
        <w:t>.1</w:t>
      </w:r>
      <w:r>
        <w:rPr>
          <w:rFonts w:hint="eastAsia" w:ascii="Times New Roman" w:hAnsi="Times New Roman" w:eastAsia="宋体" w:cs="Times New Roman"/>
          <w:sz w:val="24"/>
          <w:szCs w:val="28"/>
        </w:rPr>
        <w:t>。</w:t>
      </w:r>
    </w:p>
    <w:p w14:paraId="47374355">
      <w:pPr>
        <w:spacing w:line="360" w:lineRule="auto"/>
        <w:jc w:val="center"/>
        <w:rPr>
          <w:rFonts w:ascii="黑体" w:hAnsi="黑体" w:eastAsia="黑体" w:cs="Times New Roman"/>
        </w:rPr>
      </w:pPr>
      <w:r>
        <w:rPr>
          <w:rFonts w:hint="eastAsia" w:ascii="黑体" w:hAnsi="黑体" w:eastAsia="黑体" w:cs="Times New Roman"/>
        </w:rPr>
        <w:t>表</w:t>
      </w:r>
      <w:r>
        <w:rPr>
          <w:rFonts w:ascii="Times New Roman" w:hAnsi="Times New Roman" w:eastAsia="黑体" w:cs="Times New Roman"/>
        </w:rPr>
        <w:t>E.1</w:t>
      </w:r>
      <w:r>
        <w:rPr>
          <w:rFonts w:ascii="黑体" w:hAnsi="黑体" w:eastAsia="黑体" w:cs="Times New Roman"/>
        </w:rPr>
        <w:t xml:space="preserve"> </w:t>
      </w:r>
      <w:r>
        <w:rPr>
          <w:rFonts w:hint="eastAsia" w:ascii="黑体" w:hAnsi="黑体" w:eastAsia="黑体" w:cs="Times New Roman"/>
        </w:rPr>
        <w:t>示例</w:t>
      </w:r>
      <w:r>
        <w:rPr>
          <w:rFonts w:hint="eastAsia" w:ascii="黑体" w:hAnsi="黑体" w:eastAsia="黑体" w:cs="Times New Roman"/>
          <w:lang w:val="en-US" w:eastAsia="zh-CN"/>
        </w:rPr>
        <w:t>批次</w:t>
      </w:r>
      <w:r>
        <w:rPr>
          <w:rFonts w:hint="eastAsia" w:ascii="黑体" w:hAnsi="黑体" w:eastAsia="黑体" w:cs="Times New Roman"/>
        </w:rPr>
        <w:t>基本信息</w:t>
      </w:r>
    </w:p>
    <w:tbl>
      <w:tblPr>
        <w:tblStyle w:val="2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56"/>
        <w:gridCol w:w="1651"/>
        <w:gridCol w:w="1266"/>
        <w:gridCol w:w="1813"/>
      </w:tblGrid>
      <w:tr w14:paraId="3E755E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Align w:val="center"/>
          </w:tcPr>
          <w:p w14:paraId="2E1EFE34">
            <w:pPr>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构件产量</w:t>
            </w:r>
          </w:p>
        </w:tc>
        <w:tc>
          <w:tcPr>
            <w:tcW w:w="0" w:type="auto"/>
            <w:vAlign w:val="center"/>
          </w:tcPr>
          <w:p w14:paraId="760AE110">
            <w:pPr>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650000 t</w:t>
            </w:r>
          </w:p>
        </w:tc>
        <w:tc>
          <w:tcPr>
            <w:tcW w:w="0" w:type="auto"/>
            <w:vAlign w:val="center"/>
          </w:tcPr>
          <w:p w14:paraId="1A690A4B">
            <w:pPr>
              <w:jc w:val="center"/>
              <w:rPr>
                <w:rFonts w:ascii="Times New Roman" w:hAnsi="Times New Roman" w:eastAsia="宋体"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构件</w:t>
            </w:r>
            <w:r>
              <w:rPr>
                <w:rFonts w:hint="eastAsia" w:ascii="Times New Roman" w:hAnsi="Times New Roman" w:eastAsia="宋体" w:cs="Times New Roman"/>
                <w:color w:val="000000" w:themeColor="text1"/>
                <w:sz w:val="21"/>
                <w:szCs w:val="21"/>
                <w14:textFill>
                  <w14:solidFill>
                    <w14:schemeClr w14:val="tx1"/>
                  </w14:solidFill>
                </w14:textFill>
              </w:rPr>
              <w:t>类型</w:t>
            </w:r>
          </w:p>
        </w:tc>
        <w:tc>
          <w:tcPr>
            <w:tcW w:w="0" w:type="auto"/>
            <w:vAlign w:val="center"/>
          </w:tcPr>
          <w:p w14:paraId="4ABC8CE1">
            <w:pPr>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钢结构构件</w:t>
            </w:r>
          </w:p>
        </w:tc>
      </w:tr>
      <w:tr w14:paraId="553E20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Align w:val="center"/>
          </w:tcPr>
          <w:p w14:paraId="37C911A8">
            <w:pPr>
              <w:jc w:val="center"/>
              <w:rPr>
                <w:rFonts w:hint="default" w:ascii="Times New Roman" w:hAnsi="Times New Roman" w:eastAsia="宋体" w:cs="Times New Roman"/>
                <w:color w:val="000000" w:themeColor="text1"/>
                <w:sz w:val="21"/>
                <w:szCs w:val="21"/>
                <w:lang w:val="en-US"/>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厂房面积</w:t>
            </w:r>
          </w:p>
        </w:tc>
        <w:tc>
          <w:tcPr>
            <w:tcW w:w="0" w:type="auto"/>
            <w:vAlign w:val="center"/>
          </w:tcPr>
          <w:p w14:paraId="37B73166">
            <w:pPr>
              <w:jc w:val="center"/>
              <w:rPr>
                <w:rFonts w:hint="default" w:ascii="Times New Roman" w:hAnsi="Times New Roman" w:eastAsia="宋体" w:cs="Times New Roman"/>
                <w:color w:val="000000" w:themeColor="text1"/>
                <w:sz w:val="21"/>
                <w:szCs w:val="21"/>
                <w:lang w:val="en-US" w:eastAsia="zh-CN"/>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700000 m</w:t>
            </w:r>
            <w:r>
              <w:rPr>
                <w:rFonts w:hint="eastAsia" w:cs="Times New Roman"/>
                <w:color w:val="000000" w:themeColor="text1"/>
                <w:sz w:val="21"/>
                <w:szCs w:val="21"/>
                <w:vertAlign w:val="superscript"/>
                <w:lang w:val="en-US" w:eastAsia="zh-CN"/>
                <w14:textFill>
                  <w14:solidFill>
                    <w14:schemeClr w14:val="tx1"/>
                  </w14:solidFill>
                </w14:textFill>
              </w:rPr>
              <w:t>2</w:t>
            </w:r>
          </w:p>
        </w:tc>
        <w:tc>
          <w:tcPr>
            <w:tcW w:w="0" w:type="auto"/>
            <w:vAlign w:val="center"/>
          </w:tcPr>
          <w:p w14:paraId="09EEE7F4">
            <w:pPr>
              <w:jc w:val="center"/>
              <w:rPr>
                <w:rFonts w:ascii="Times New Roman" w:hAnsi="Times New Roman" w:eastAsia="宋体"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建厂</w:t>
            </w:r>
            <w:r>
              <w:rPr>
                <w:rFonts w:hint="eastAsia" w:ascii="Times New Roman" w:hAnsi="Times New Roman" w:eastAsia="宋体" w:cs="Times New Roman"/>
                <w:color w:val="000000" w:themeColor="text1"/>
                <w:sz w:val="21"/>
                <w:szCs w:val="21"/>
                <w14:textFill>
                  <w14:solidFill>
                    <w14:schemeClr w14:val="tx1"/>
                  </w14:solidFill>
                </w14:textFill>
              </w:rPr>
              <w:t>时间</w:t>
            </w:r>
          </w:p>
        </w:tc>
        <w:tc>
          <w:tcPr>
            <w:tcW w:w="0" w:type="auto"/>
            <w:vAlign w:val="center"/>
          </w:tcPr>
          <w:p w14:paraId="2D454393">
            <w:pPr>
              <w:jc w:val="center"/>
              <w:rPr>
                <w:rFonts w:hint="default" w:ascii="Times New Roman" w:hAnsi="Times New Roman" w:eastAsia="宋体" w:cs="Times New Roman"/>
                <w:color w:val="000000" w:themeColor="text1"/>
                <w:sz w:val="21"/>
                <w:szCs w:val="21"/>
                <w:lang w:val="en-US"/>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2011年</w:t>
            </w:r>
          </w:p>
        </w:tc>
      </w:tr>
      <w:tr w14:paraId="400A83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Align w:val="center"/>
          </w:tcPr>
          <w:p w14:paraId="4B689D94">
            <w:pPr>
              <w:jc w:val="center"/>
              <w:rPr>
                <w:rFonts w:ascii="Times New Roman" w:hAnsi="Times New Roman" w:eastAsia="宋体" w:cs="Times New Roman"/>
                <w:color w:val="000000" w:themeColor="text1"/>
                <w:sz w:val="21"/>
                <w:szCs w:val="21"/>
                <w14:textFill>
                  <w14:solidFill>
                    <w14:schemeClr w14:val="tx1"/>
                  </w14:solidFill>
                </w14:textFill>
              </w:rPr>
            </w:pPr>
            <w:r>
              <w:rPr>
                <w:rFonts w:hint="eastAsia" w:ascii="Times New Roman" w:hAnsi="Times New Roman" w:eastAsia="宋体" w:cs="Times New Roman"/>
                <w:color w:val="000000" w:themeColor="text1"/>
                <w:sz w:val="21"/>
                <w:szCs w:val="21"/>
                <w14:textFill>
                  <w14:solidFill>
                    <w14:schemeClr w14:val="tx1"/>
                  </w14:solidFill>
                </w14:textFill>
              </w:rPr>
              <w:t>计量周期</w:t>
            </w:r>
          </w:p>
        </w:tc>
        <w:tc>
          <w:tcPr>
            <w:tcW w:w="0" w:type="auto"/>
            <w:gridSpan w:val="3"/>
            <w:vAlign w:val="center"/>
          </w:tcPr>
          <w:p w14:paraId="07721E8C">
            <w:pPr>
              <w:jc w:val="center"/>
              <w:rPr>
                <w:rFonts w:ascii="Times New Roman" w:hAnsi="Times New Roman" w:eastAsia="宋体" w:cs="Times New Roman"/>
                <w:color w:val="000000" w:themeColor="text1"/>
                <w:sz w:val="21"/>
                <w:szCs w:val="21"/>
                <w14:textFill>
                  <w14:solidFill>
                    <w14:schemeClr w14:val="tx1"/>
                  </w14:solidFill>
                </w14:textFill>
              </w:rPr>
            </w:pPr>
            <w:r>
              <w:rPr>
                <w:rFonts w:ascii="Times New Roman" w:hAnsi="Times New Roman" w:eastAsia="宋体" w:cs="Times New Roman"/>
                <w:color w:val="000000" w:themeColor="text1"/>
                <w:sz w:val="21"/>
                <w:szCs w:val="21"/>
                <w14:textFill>
                  <w14:solidFill>
                    <w14:schemeClr w14:val="tx1"/>
                  </w14:solidFill>
                </w14:textFill>
              </w:rPr>
              <w:t>202</w:t>
            </w:r>
            <w:r>
              <w:rPr>
                <w:rFonts w:hint="eastAsia" w:cs="Times New Roman"/>
                <w:color w:val="000000" w:themeColor="text1"/>
                <w:sz w:val="21"/>
                <w:szCs w:val="21"/>
                <w:lang w:val="en-US" w:eastAsia="zh-CN"/>
                <w14:textFill>
                  <w14:solidFill>
                    <w14:schemeClr w14:val="tx1"/>
                  </w14:solidFill>
                </w14:textFill>
              </w:rPr>
              <w:t>3</w:t>
            </w:r>
            <w:r>
              <w:rPr>
                <w:rFonts w:hint="eastAsia" w:ascii="Times New Roman" w:hAnsi="Times New Roman" w:eastAsia="宋体" w:cs="Times New Roman"/>
                <w:color w:val="000000" w:themeColor="text1"/>
                <w:sz w:val="21"/>
                <w:szCs w:val="21"/>
                <w14:textFill>
                  <w14:solidFill>
                    <w14:schemeClr w14:val="tx1"/>
                  </w14:solidFill>
                </w14:textFill>
              </w:rPr>
              <w:t>年</w:t>
            </w:r>
            <w:r>
              <w:rPr>
                <w:rFonts w:hint="eastAsia" w:cs="Times New Roman"/>
                <w:color w:val="000000" w:themeColor="text1"/>
                <w:sz w:val="21"/>
                <w:szCs w:val="21"/>
                <w:lang w:val="en-US" w:eastAsia="zh-CN"/>
                <w14:textFill>
                  <w14:solidFill>
                    <w14:schemeClr w14:val="tx1"/>
                  </w14:solidFill>
                </w14:textFill>
              </w:rPr>
              <w:t>9</w:t>
            </w:r>
            <w:r>
              <w:rPr>
                <w:rFonts w:hint="eastAsia" w:ascii="Times New Roman" w:hAnsi="Times New Roman" w:eastAsia="宋体" w:cs="Times New Roman"/>
                <w:color w:val="000000" w:themeColor="text1"/>
                <w:sz w:val="21"/>
                <w:szCs w:val="21"/>
                <w14:textFill>
                  <w14:solidFill>
                    <w14:schemeClr w14:val="tx1"/>
                  </w14:solidFill>
                </w14:textFill>
              </w:rPr>
              <w:t>月</w:t>
            </w:r>
            <w:r>
              <w:rPr>
                <w:rFonts w:hint="eastAsia" w:cs="Times New Roman"/>
                <w:color w:val="000000" w:themeColor="text1"/>
                <w:sz w:val="21"/>
                <w:szCs w:val="21"/>
                <w:lang w:val="en-US" w:eastAsia="zh-CN"/>
                <w14:textFill>
                  <w14:solidFill>
                    <w14:schemeClr w14:val="tx1"/>
                  </w14:solidFill>
                </w14:textFill>
              </w:rPr>
              <w:t>20</w:t>
            </w:r>
            <w:r>
              <w:rPr>
                <w:rFonts w:hint="eastAsia" w:ascii="Times New Roman" w:hAnsi="Times New Roman" w:eastAsia="宋体" w:cs="Times New Roman"/>
                <w:color w:val="000000" w:themeColor="text1"/>
                <w:sz w:val="21"/>
                <w:szCs w:val="21"/>
                <w14:textFill>
                  <w14:solidFill>
                    <w14:schemeClr w14:val="tx1"/>
                  </w14:solidFill>
                </w14:textFill>
              </w:rPr>
              <w:t>日至</w:t>
            </w:r>
            <w:r>
              <w:rPr>
                <w:rFonts w:ascii="Times New Roman" w:hAnsi="Times New Roman" w:eastAsia="宋体" w:cs="Times New Roman"/>
                <w:color w:val="000000" w:themeColor="text1"/>
                <w:sz w:val="21"/>
                <w:szCs w:val="21"/>
                <w14:textFill>
                  <w14:solidFill>
                    <w14:schemeClr w14:val="tx1"/>
                  </w14:solidFill>
                </w14:textFill>
              </w:rPr>
              <w:t>202</w:t>
            </w:r>
            <w:r>
              <w:rPr>
                <w:rFonts w:hint="eastAsia" w:cs="Times New Roman"/>
                <w:color w:val="000000" w:themeColor="text1"/>
                <w:sz w:val="21"/>
                <w:szCs w:val="21"/>
                <w:lang w:val="en-US" w:eastAsia="zh-CN"/>
                <w14:textFill>
                  <w14:solidFill>
                    <w14:schemeClr w14:val="tx1"/>
                  </w14:solidFill>
                </w14:textFill>
              </w:rPr>
              <w:t>4</w:t>
            </w:r>
            <w:r>
              <w:rPr>
                <w:rFonts w:hint="eastAsia" w:ascii="Times New Roman" w:hAnsi="Times New Roman" w:eastAsia="宋体" w:cs="Times New Roman"/>
                <w:color w:val="000000" w:themeColor="text1"/>
                <w:sz w:val="21"/>
                <w:szCs w:val="21"/>
                <w14:textFill>
                  <w14:solidFill>
                    <w14:schemeClr w14:val="tx1"/>
                  </w14:solidFill>
                </w14:textFill>
              </w:rPr>
              <w:t>年</w:t>
            </w:r>
            <w:r>
              <w:rPr>
                <w:rFonts w:ascii="Times New Roman" w:hAnsi="Times New Roman" w:eastAsia="宋体" w:cs="Times New Roman"/>
                <w:color w:val="000000" w:themeColor="text1"/>
                <w:sz w:val="21"/>
                <w:szCs w:val="21"/>
                <w14:textFill>
                  <w14:solidFill>
                    <w14:schemeClr w14:val="tx1"/>
                  </w14:solidFill>
                </w14:textFill>
              </w:rPr>
              <w:t>9</w:t>
            </w:r>
            <w:r>
              <w:rPr>
                <w:rFonts w:hint="eastAsia" w:ascii="Times New Roman" w:hAnsi="Times New Roman" w:eastAsia="宋体" w:cs="Times New Roman"/>
                <w:color w:val="000000" w:themeColor="text1"/>
                <w:sz w:val="21"/>
                <w:szCs w:val="21"/>
                <w14:textFill>
                  <w14:solidFill>
                    <w14:schemeClr w14:val="tx1"/>
                  </w14:solidFill>
                </w14:textFill>
              </w:rPr>
              <w:t>月</w:t>
            </w:r>
            <w:r>
              <w:rPr>
                <w:rFonts w:hint="eastAsia" w:cs="Times New Roman"/>
                <w:color w:val="000000" w:themeColor="text1"/>
                <w:sz w:val="21"/>
                <w:szCs w:val="21"/>
                <w:lang w:val="en-US" w:eastAsia="zh-CN"/>
                <w14:textFill>
                  <w14:solidFill>
                    <w14:schemeClr w14:val="tx1"/>
                  </w14:solidFill>
                </w14:textFill>
              </w:rPr>
              <w:t>20</w:t>
            </w:r>
            <w:r>
              <w:rPr>
                <w:rFonts w:hint="eastAsia" w:ascii="Times New Roman" w:hAnsi="Times New Roman" w:eastAsia="宋体" w:cs="Times New Roman"/>
                <w:color w:val="000000" w:themeColor="text1"/>
                <w:sz w:val="21"/>
                <w:szCs w:val="21"/>
                <w14:textFill>
                  <w14:solidFill>
                    <w14:schemeClr w14:val="tx1"/>
                  </w14:solidFill>
                </w14:textFill>
              </w:rPr>
              <w:t>日</w:t>
            </w:r>
          </w:p>
        </w:tc>
      </w:tr>
      <w:tr w14:paraId="7193EC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gridSpan w:val="4"/>
            <w:vAlign w:val="center"/>
          </w:tcPr>
          <w:p w14:paraId="6E73F53C">
            <w:pPr>
              <w:jc w:val="center"/>
              <w:rPr>
                <w:rFonts w:ascii="Times New Roman" w:hAnsi="Times New Roman" w:eastAsia="宋体" w:cs="Times New Roman"/>
                <w:color w:val="000000" w:themeColor="text1"/>
                <w:sz w:val="21"/>
                <w:szCs w:val="21"/>
                <w14:textFill>
                  <w14:solidFill>
                    <w14:schemeClr w14:val="tx1"/>
                  </w14:solidFill>
                </w14:textFill>
              </w:rPr>
            </w:pPr>
            <w:r>
              <w:rPr>
                <w:rFonts w:hint="eastAsia" w:ascii="Times New Roman" w:hAnsi="Times New Roman" w:eastAsia="宋体" w:cs="Times New Roman"/>
                <w:color w:val="000000" w:themeColor="text1"/>
                <w:sz w:val="21"/>
                <w:szCs w:val="21"/>
                <w14:textFill>
                  <w14:solidFill>
                    <w14:schemeClr w14:val="tx1"/>
                  </w14:solidFill>
                </w14:textFill>
              </w:rPr>
              <w:t>能</w:t>
            </w:r>
            <w:r>
              <w:rPr>
                <w:rFonts w:hint="eastAsia" w:cs="Times New Roman"/>
                <w:color w:val="000000" w:themeColor="text1"/>
                <w:sz w:val="21"/>
                <w:szCs w:val="21"/>
                <w:lang w:val="en-US" w:eastAsia="zh-CN"/>
                <w14:textFill>
                  <w14:solidFill>
                    <w14:schemeClr w14:val="tx1"/>
                  </w14:solidFill>
                </w14:textFill>
              </w:rPr>
              <w:t>源及燃料消耗数据</w:t>
            </w:r>
          </w:p>
        </w:tc>
      </w:tr>
      <w:tr w14:paraId="29B9F3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auto"/>
            <w:vAlign w:val="center"/>
          </w:tcPr>
          <w:p w14:paraId="52DEB506">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 w:val="21"/>
                <w:szCs w:val="21"/>
                <w14:textFill>
                  <w14:solidFill>
                    <w14:schemeClr w14:val="tx1"/>
                  </w14:solidFill>
                </w14:textFill>
              </w:rPr>
              <w:t>电力</w:t>
            </w:r>
          </w:p>
        </w:tc>
        <w:tc>
          <w:tcPr>
            <w:tcW w:w="0" w:type="auto"/>
            <w:shd w:val="clear" w:color="auto" w:fill="auto"/>
            <w:vAlign w:val="center"/>
          </w:tcPr>
          <w:p w14:paraId="44D384EA">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t>3923.5027 MWh</w:t>
            </w:r>
          </w:p>
        </w:tc>
        <w:tc>
          <w:tcPr>
            <w:tcW w:w="0" w:type="auto"/>
            <w:shd w:val="clear" w:color="auto" w:fill="auto"/>
            <w:vAlign w:val="center"/>
          </w:tcPr>
          <w:p w14:paraId="019EE7C4">
            <w:pPr>
              <w:jc w:val="center"/>
              <w:rPr>
                <w:rFonts w:hint="eastAsia" w:ascii="Times New Roman" w:hAnsi="Times New Roman" w:eastAsia="宋体" w:cs="Times New Roman"/>
                <w:kern w:val="2"/>
                <w:sz w:val="21"/>
                <w:szCs w:val="21"/>
                <w:lang w:val="en-US" w:eastAsia="zh-CN" w:bidi="ar-SA"/>
              </w:rPr>
            </w:pPr>
            <w:r>
              <w:rPr>
                <w:rFonts w:hint="eastAsia" w:ascii="Times New Roman" w:hAnsi="Times New Roman" w:eastAsia="宋体" w:cs="Times New Roman"/>
                <w:sz w:val="21"/>
                <w:szCs w:val="21"/>
              </w:rPr>
              <w:t>碳排放因子</w:t>
            </w:r>
          </w:p>
        </w:tc>
        <w:tc>
          <w:tcPr>
            <w:tcW w:w="0" w:type="auto"/>
            <w:shd w:val="clear" w:color="auto" w:fill="auto"/>
            <w:vAlign w:val="center"/>
          </w:tcPr>
          <w:p w14:paraId="482E0D1D">
            <w:pPr>
              <w:jc w:val="center"/>
              <w:rPr>
                <w:rFonts w:hint="default" w:ascii="Times New Roman" w:hAnsi="Times New Roman" w:eastAsia="宋体" w:cs="Times New Roman"/>
                <w:kern w:val="2"/>
                <w:sz w:val="21"/>
                <w:szCs w:val="21"/>
                <w:lang w:val="en-US" w:eastAsia="zh-CN" w:bidi="ar-SA"/>
              </w:rPr>
            </w:pPr>
            <w:r>
              <w:rPr>
                <w:rFonts w:hint="eastAsia" w:cs="Times New Roman"/>
                <w:sz w:val="21"/>
                <w:szCs w:val="21"/>
                <w:lang w:val="en-US" w:eastAsia="zh-CN"/>
              </w:rPr>
              <w:t>0.</w:t>
            </w:r>
            <w:r>
              <w:rPr>
                <w:rFonts w:ascii="Times New Roman" w:hAnsi="Times New Roman" w:eastAsia="宋体" w:cs="Times New Roman"/>
                <w:sz w:val="21"/>
                <w:szCs w:val="21"/>
              </w:rPr>
              <w:t>5</w:t>
            </w:r>
            <w:r>
              <w:rPr>
                <w:rFonts w:hint="eastAsia" w:cs="Times New Roman"/>
                <w:sz w:val="21"/>
                <w:szCs w:val="21"/>
                <w:lang w:val="en-US" w:eastAsia="zh-CN"/>
              </w:rPr>
              <w:t>366 tCO</w:t>
            </w:r>
            <w:r>
              <w:rPr>
                <w:rFonts w:hint="eastAsia" w:cs="Times New Roman"/>
                <w:sz w:val="21"/>
                <w:szCs w:val="21"/>
                <w:vertAlign w:val="subscript"/>
                <w:lang w:val="en-US" w:eastAsia="zh-CN"/>
              </w:rPr>
              <w:t>2</w:t>
            </w:r>
            <w:r>
              <w:rPr>
                <w:rFonts w:hint="eastAsia" w:cs="Times New Roman"/>
                <w:sz w:val="21"/>
                <w:szCs w:val="21"/>
                <w:lang w:val="en-US" w:eastAsia="zh-CN"/>
              </w:rPr>
              <w:t>/MWh</w:t>
            </w:r>
          </w:p>
        </w:tc>
      </w:tr>
      <w:tr w14:paraId="08CC71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shd w:val="clear" w:color="auto" w:fill="auto"/>
            <w:vAlign w:val="center"/>
          </w:tcPr>
          <w:p w14:paraId="7BF7E28E">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bookmarkStart w:id="129" w:name="_Hlk146286376"/>
            <w:r>
              <w:rPr>
                <w:rFonts w:hint="eastAsia" w:ascii="Times New Roman" w:hAnsi="Times New Roman" w:eastAsia="宋体" w:cs="Times New Roman"/>
                <w:color w:val="000000" w:themeColor="text1"/>
                <w:sz w:val="21"/>
                <w:szCs w:val="21"/>
                <w14:textFill>
                  <w14:solidFill>
                    <w14:schemeClr w14:val="tx1"/>
                  </w14:solidFill>
                </w14:textFill>
              </w:rPr>
              <w:t>柴油</w:t>
            </w:r>
          </w:p>
        </w:tc>
        <w:tc>
          <w:tcPr>
            <w:tcW w:w="0" w:type="auto"/>
            <w:shd w:val="clear" w:color="auto" w:fill="auto"/>
            <w:vAlign w:val="center"/>
          </w:tcPr>
          <w:p w14:paraId="76675405">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 w:val="21"/>
                <w:szCs w:val="21"/>
                <w14:textFill>
                  <w14:solidFill>
                    <w14:schemeClr w14:val="tx1"/>
                  </w14:solidFill>
                </w14:textFill>
              </w:rPr>
              <w:t>58 t</w:t>
            </w:r>
          </w:p>
        </w:tc>
        <w:tc>
          <w:tcPr>
            <w:tcW w:w="0" w:type="auto"/>
            <w:shd w:val="clear" w:color="auto" w:fill="auto"/>
            <w:vAlign w:val="center"/>
          </w:tcPr>
          <w:p w14:paraId="3901D08D">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color w:val="000000" w:themeColor="text1"/>
                <w:sz w:val="21"/>
                <w:szCs w:val="21"/>
                <w14:textFill>
                  <w14:solidFill>
                    <w14:schemeClr w14:val="tx1"/>
                  </w14:solidFill>
                </w14:textFill>
              </w:rPr>
              <w:t>碳排放因子</w:t>
            </w:r>
          </w:p>
        </w:tc>
        <w:tc>
          <w:tcPr>
            <w:tcW w:w="0" w:type="auto"/>
            <w:shd w:val="clear" w:color="auto" w:fill="auto"/>
            <w:vAlign w:val="center"/>
          </w:tcPr>
          <w:p w14:paraId="14CCFA1D">
            <w:pPr>
              <w:jc w:val="center"/>
              <w:rPr>
                <w:rFonts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eastAsia="宋体" w:cs="Times New Roman"/>
                <w:sz w:val="21"/>
                <w:szCs w:val="21"/>
              </w:rPr>
              <w:t>74</w:t>
            </w:r>
            <w:r>
              <w:rPr>
                <w:rFonts w:hint="eastAsia" w:cs="Times New Roman"/>
                <w:sz w:val="21"/>
                <w:szCs w:val="21"/>
                <w:lang w:eastAsia="zh-CN"/>
              </w:rPr>
              <w:t>.</w:t>
            </w:r>
            <w:r>
              <w:rPr>
                <w:rFonts w:hint="eastAsia" w:cs="Times New Roman"/>
                <w:sz w:val="21"/>
                <w:szCs w:val="21"/>
                <w:lang w:val="en-US" w:eastAsia="zh-CN"/>
              </w:rPr>
              <w:t>1</w:t>
            </w:r>
            <w:r>
              <w:rPr>
                <w:rFonts w:ascii="Times New Roman" w:hAnsi="Times New Roman" w:eastAsia="宋体" w:cs="Times New Roman"/>
                <w:sz w:val="21"/>
                <w:szCs w:val="21"/>
              </w:rPr>
              <w:t xml:space="preserve"> </w:t>
            </w:r>
            <w:r>
              <w:rPr>
                <w:rFonts w:hint="eastAsia" w:ascii="Times New Roman" w:hAnsi="Times New Roman" w:eastAsia="宋体" w:cs="Times New Roman"/>
                <w:sz w:val="21"/>
                <w:szCs w:val="21"/>
              </w:rPr>
              <w:t>tCO</w:t>
            </w:r>
            <w:r>
              <w:rPr>
                <w:rFonts w:ascii="Times New Roman" w:hAnsi="Times New Roman" w:eastAsia="宋体" w:cs="Times New Roman"/>
                <w:sz w:val="21"/>
                <w:szCs w:val="21"/>
                <w:vertAlign w:val="subscript"/>
              </w:rPr>
              <w:t>2</w:t>
            </w:r>
            <w:r>
              <w:rPr>
                <w:rFonts w:hint="eastAsia" w:ascii="Times New Roman" w:hAnsi="Times New Roman" w:eastAsia="宋体" w:cs="Times New Roman"/>
                <w:sz w:val="21"/>
                <w:szCs w:val="21"/>
              </w:rPr>
              <w:t>/TJ</w:t>
            </w:r>
          </w:p>
        </w:tc>
      </w:tr>
      <w:bookmarkEnd w:id="129"/>
    </w:tbl>
    <w:p w14:paraId="226CC47B">
      <w:pPr>
        <w:spacing w:line="360" w:lineRule="auto"/>
        <w:ind w:firstLine="480" w:firstLineChars="200"/>
        <w:rPr>
          <w:rFonts w:ascii="Times New Roman" w:hAnsi="Times New Roman" w:eastAsia="宋体" w:cs="Times New Roman"/>
          <w:color w:val="auto"/>
          <w:sz w:val="24"/>
          <w:szCs w:val="28"/>
        </w:rPr>
      </w:pPr>
      <w:r>
        <w:rPr>
          <w:rFonts w:hint="eastAsia" w:ascii="Times New Roman" w:hAnsi="Times New Roman" w:eastAsia="宋体" w:cs="Times New Roman"/>
          <w:color w:val="auto"/>
          <w:sz w:val="24"/>
          <w:szCs w:val="28"/>
        </w:rPr>
        <w:t>采用电能表对购入电力进行计量，</w:t>
      </w:r>
      <w:r>
        <w:rPr>
          <w:rFonts w:hint="eastAsia" w:cs="Times New Roman"/>
          <w:color w:val="auto"/>
          <w:sz w:val="24"/>
          <w:szCs w:val="28"/>
          <w:lang w:eastAsia="zh-CN"/>
        </w:rPr>
        <w:t>批次</w:t>
      </w:r>
      <w:r>
        <w:rPr>
          <w:rFonts w:hint="eastAsia" w:ascii="Times New Roman" w:hAnsi="Times New Roman" w:eastAsia="宋体" w:cs="Times New Roman"/>
          <w:color w:val="auto"/>
          <w:sz w:val="24"/>
          <w:szCs w:val="28"/>
        </w:rPr>
        <w:t>耗电量为3923</w:t>
      </w:r>
      <w:r>
        <w:rPr>
          <w:rFonts w:hint="eastAsia" w:cs="Times New Roman"/>
          <w:color w:val="auto"/>
          <w:sz w:val="24"/>
          <w:szCs w:val="28"/>
          <w:lang w:val="en-US" w:eastAsia="zh-CN"/>
        </w:rPr>
        <w:t>.</w:t>
      </w:r>
      <w:r>
        <w:rPr>
          <w:rFonts w:hint="eastAsia" w:ascii="Times New Roman" w:hAnsi="Times New Roman" w:eastAsia="宋体" w:cs="Times New Roman"/>
          <w:color w:val="auto"/>
          <w:sz w:val="24"/>
          <w:szCs w:val="28"/>
        </w:rPr>
        <w:t xml:space="preserve">5027 </w:t>
      </w:r>
      <w:r>
        <w:rPr>
          <w:rFonts w:hint="eastAsia" w:cs="Times New Roman"/>
          <w:color w:val="auto"/>
          <w:sz w:val="24"/>
          <w:szCs w:val="28"/>
          <w:lang w:val="en-US" w:eastAsia="zh-CN"/>
        </w:rPr>
        <w:t>M</w:t>
      </w:r>
      <w:r>
        <w:rPr>
          <w:rFonts w:hint="eastAsia" w:ascii="Times New Roman" w:hAnsi="Times New Roman" w:eastAsia="宋体" w:cs="Times New Roman"/>
          <w:color w:val="auto"/>
          <w:sz w:val="24"/>
          <w:szCs w:val="28"/>
        </w:rPr>
        <w:t xml:space="preserve">Wh，电网因子采用国家电网最新公布的0.5366 </w:t>
      </w:r>
      <w:r>
        <w:rPr>
          <w:rFonts w:hint="eastAsia" w:cs="Times New Roman"/>
          <w:color w:val="auto"/>
          <w:sz w:val="24"/>
          <w:szCs w:val="28"/>
          <w:lang w:val="en-US" w:eastAsia="zh-CN"/>
        </w:rPr>
        <w:t>t</w:t>
      </w:r>
      <w:r>
        <w:rPr>
          <w:rFonts w:hint="eastAsia" w:ascii="Times New Roman" w:hAnsi="Times New Roman" w:eastAsia="宋体" w:cs="Times New Roman"/>
          <w:color w:val="auto"/>
          <w:sz w:val="24"/>
          <w:szCs w:val="28"/>
        </w:rPr>
        <w:t>CO</w:t>
      </w:r>
      <w:r>
        <w:rPr>
          <w:rFonts w:hint="eastAsia" w:ascii="Times New Roman" w:hAnsi="Times New Roman" w:eastAsia="宋体" w:cs="Times New Roman"/>
          <w:color w:val="auto"/>
          <w:sz w:val="24"/>
          <w:szCs w:val="28"/>
          <w:vertAlign w:val="subscript"/>
        </w:rPr>
        <w:t>2</w:t>
      </w:r>
      <w:r>
        <w:rPr>
          <w:rFonts w:hint="eastAsia" w:ascii="Times New Roman" w:hAnsi="Times New Roman" w:eastAsia="宋体" w:cs="Times New Roman"/>
          <w:color w:val="auto"/>
          <w:sz w:val="24"/>
          <w:szCs w:val="28"/>
        </w:rPr>
        <w:t>/</w:t>
      </w:r>
      <w:r>
        <w:rPr>
          <w:rFonts w:hint="eastAsia" w:cs="Times New Roman"/>
          <w:color w:val="auto"/>
          <w:sz w:val="24"/>
          <w:szCs w:val="28"/>
          <w:lang w:val="en-US" w:eastAsia="zh-CN"/>
        </w:rPr>
        <w:t>M</w:t>
      </w:r>
      <w:r>
        <w:rPr>
          <w:rFonts w:hint="eastAsia" w:ascii="Times New Roman" w:hAnsi="Times New Roman" w:eastAsia="宋体" w:cs="Times New Roman"/>
          <w:color w:val="auto"/>
          <w:sz w:val="24"/>
          <w:szCs w:val="28"/>
        </w:rPr>
        <w:t>Wh，净购入电力产生的碳排放量为3923</w:t>
      </w:r>
      <w:r>
        <w:rPr>
          <w:rFonts w:hint="eastAsia" w:cs="Times New Roman"/>
          <w:color w:val="auto"/>
          <w:sz w:val="24"/>
          <w:szCs w:val="28"/>
          <w:lang w:val="en-US" w:eastAsia="zh-CN"/>
        </w:rPr>
        <w:t>.</w:t>
      </w:r>
      <w:r>
        <w:rPr>
          <w:rFonts w:hint="eastAsia" w:ascii="Times New Roman" w:hAnsi="Times New Roman" w:eastAsia="宋体" w:cs="Times New Roman"/>
          <w:color w:val="auto"/>
          <w:sz w:val="24"/>
          <w:szCs w:val="28"/>
        </w:rPr>
        <w:t xml:space="preserve">5027 </w:t>
      </w:r>
      <w:r>
        <w:rPr>
          <w:rFonts w:hint="eastAsia" w:cs="Times New Roman"/>
          <w:color w:val="auto"/>
          <w:sz w:val="24"/>
          <w:szCs w:val="28"/>
          <w:lang w:val="en-US" w:eastAsia="zh-CN"/>
        </w:rPr>
        <w:t>M</w:t>
      </w:r>
      <w:r>
        <w:rPr>
          <w:rFonts w:hint="eastAsia" w:ascii="Times New Roman" w:hAnsi="Times New Roman" w:eastAsia="宋体" w:cs="Times New Roman"/>
          <w:color w:val="auto"/>
          <w:sz w:val="24"/>
          <w:szCs w:val="28"/>
        </w:rPr>
        <w:t xml:space="preserve">Wh×0.5366 </w:t>
      </w:r>
      <w:r>
        <w:rPr>
          <w:rFonts w:hint="eastAsia" w:cs="Times New Roman"/>
          <w:color w:val="auto"/>
          <w:sz w:val="24"/>
          <w:szCs w:val="28"/>
          <w:lang w:val="en-US" w:eastAsia="zh-CN"/>
        </w:rPr>
        <w:t>t</w:t>
      </w:r>
      <w:r>
        <w:rPr>
          <w:rFonts w:hint="eastAsia" w:ascii="Times New Roman" w:hAnsi="Times New Roman" w:eastAsia="宋体" w:cs="Times New Roman"/>
          <w:color w:val="auto"/>
          <w:sz w:val="24"/>
          <w:szCs w:val="28"/>
        </w:rPr>
        <w:t>CO</w:t>
      </w:r>
      <w:r>
        <w:rPr>
          <w:rFonts w:hint="eastAsia" w:ascii="Times New Roman" w:hAnsi="Times New Roman" w:eastAsia="宋体" w:cs="Times New Roman"/>
          <w:color w:val="auto"/>
          <w:sz w:val="24"/>
          <w:szCs w:val="28"/>
          <w:vertAlign w:val="subscript"/>
        </w:rPr>
        <w:t>2</w:t>
      </w:r>
      <w:r>
        <w:rPr>
          <w:rFonts w:hint="eastAsia" w:ascii="Times New Roman" w:hAnsi="Times New Roman" w:eastAsia="宋体" w:cs="Times New Roman"/>
          <w:color w:val="auto"/>
          <w:sz w:val="24"/>
          <w:szCs w:val="28"/>
        </w:rPr>
        <w:t>/</w:t>
      </w:r>
      <w:r>
        <w:rPr>
          <w:rFonts w:hint="eastAsia" w:cs="Times New Roman"/>
          <w:color w:val="auto"/>
          <w:sz w:val="24"/>
          <w:szCs w:val="28"/>
          <w:lang w:val="en-US" w:eastAsia="zh-CN"/>
        </w:rPr>
        <w:t>M</w:t>
      </w:r>
      <w:r>
        <w:rPr>
          <w:rFonts w:hint="eastAsia" w:ascii="Times New Roman" w:hAnsi="Times New Roman" w:eastAsia="宋体" w:cs="Times New Roman"/>
          <w:color w:val="auto"/>
          <w:sz w:val="24"/>
          <w:szCs w:val="28"/>
        </w:rPr>
        <w:t>Wh</w:t>
      </w:r>
      <w:r>
        <w:rPr>
          <w:rFonts w:ascii="Times New Roman" w:hAnsi="Times New Roman" w:eastAsia="宋体" w:cs="Times New Roman"/>
          <w:color w:val="auto"/>
          <w:sz w:val="24"/>
          <w:szCs w:val="28"/>
        </w:rPr>
        <w:t>=</w:t>
      </w:r>
      <w:r>
        <w:rPr>
          <w:rFonts w:hint="eastAsia" w:cs="Times New Roman"/>
          <w:color w:val="auto"/>
          <w:sz w:val="24"/>
          <w:szCs w:val="28"/>
          <w:lang w:val="en-US" w:eastAsia="zh-CN"/>
        </w:rPr>
        <w:t>1735.92t</w:t>
      </w:r>
      <w:r>
        <w:rPr>
          <w:rFonts w:ascii="Times New Roman" w:hAnsi="Times New Roman" w:eastAsia="宋体" w:cs="Times New Roman"/>
          <w:color w:val="auto"/>
          <w:sz w:val="24"/>
          <w:szCs w:val="28"/>
        </w:rPr>
        <w:t>。</w:t>
      </w:r>
      <w:r>
        <w:rPr>
          <w:rFonts w:hint="eastAsia" w:ascii="Times New Roman" w:hAnsi="Times New Roman" w:eastAsia="宋体" w:cs="Times New Roman"/>
          <w:color w:val="auto"/>
          <w:sz w:val="24"/>
          <w:szCs w:val="28"/>
        </w:rPr>
        <w:t>电能表的相对标准测量不确定度为0.2%，则其净购入电力活动数据的相对不确定度为0.2%，标准不确定度为</w:t>
      </w:r>
      <w:r>
        <w:rPr>
          <w:rFonts w:hint="eastAsia" w:cs="Times New Roman"/>
          <w:color w:val="auto"/>
          <w:sz w:val="24"/>
          <w:szCs w:val="28"/>
          <w:lang w:val="en-US" w:eastAsia="zh-CN"/>
        </w:rPr>
        <w:t>1735.92t</w:t>
      </w:r>
      <w:r>
        <w:rPr>
          <w:rFonts w:ascii="Times New Roman" w:hAnsi="Times New Roman" w:eastAsia="宋体" w:cs="Times New Roman"/>
          <w:color w:val="auto"/>
          <w:sz w:val="24"/>
          <w:szCs w:val="28"/>
        </w:rPr>
        <w:t>CO</w:t>
      </w:r>
      <w:r>
        <w:rPr>
          <w:rFonts w:ascii="Times New Roman" w:hAnsi="Times New Roman" w:eastAsia="宋体" w:cs="Times New Roman"/>
          <w:color w:val="auto"/>
          <w:sz w:val="24"/>
          <w:szCs w:val="28"/>
          <w:vertAlign w:val="subscript"/>
        </w:rPr>
        <w:t>2</w:t>
      </w:r>
      <w:r>
        <w:rPr>
          <w:rFonts w:hint="eastAsia" w:ascii="Times New Roman" w:hAnsi="Times New Roman" w:eastAsia="宋体" w:cs="Times New Roman"/>
          <w:color w:val="auto"/>
          <w:sz w:val="24"/>
          <w:szCs w:val="28"/>
        </w:rPr>
        <w:t>×</w:t>
      </w:r>
      <w:r>
        <w:rPr>
          <w:rFonts w:ascii="Times New Roman" w:hAnsi="Times New Roman" w:eastAsia="宋体" w:cs="Times New Roman"/>
          <w:color w:val="auto"/>
          <w:sz w:val="24"/>
          <w:szCs w:val="28"/>
        </w:rPr>
        <w:t>0.2%=</w:t>
      </w:r>
      <w:r>
        <w:rPr>
          <w:rFonts w:hint="eastAsia" w:cs="Times New Roman"/>
          <w:color w:val="auto"/>
          <w:sz w:val="24"/>
          <w:szCs w:val="28"/>
          <w:lang w:val="en-US" w:eastAsia="zh-CN"/>
        </w:rPr>
        <w:t>3.472t</w:t>
      </w:r>
      <w:r>
        <w:rPr>
          <w:rFonts w:ascii="Times New Roman" w:hAnsi="Times New Roman" w:eastAsia="宋体" w:cs="Times New Roman"/>
          <w:color w:val="auto"/>
          <w:sz w:val="24"/>
          <w:szCs w:val="28"/>
        </w:rPr>
        <w:t>CO</w:t>
      </w:r>
      <w:r>
        <w:rPr>
          <w:rFonts w:ascii="Times New Roman" w:hAnsi="Times New Roman" w:eastAsia="宋体" w:cs="Times New Roman"/>
          <w:color w:val="auto"/>
          <w:sz w:val="24"/>
          <w:szCs w:val="28"/>
          <w:vertAlign w:val="subscript"/>
        </w:rPr>
        <w:t>2</w:t>
      </w:r>
      <w:r>
        <w:rPr>
          <w:rFonts w:ascii="Times New Roman" w:hAnsi="Times New Roman" w:eastAsia="宋体" w:cs="Times New Roman"/>
          <w:color w:val="auto"/>
          <w:sz w:val="24"/>
          <w:szCs w:val="28"/>
        </w:rPr>
        <w:t>。</w:t>
      </w:r>
    </w:p>
    <w:p w14:paraId="5BE5910A">
      <w:pPr>
        <w:spacing w:line="360" w:lineRule="auto"/>
        <w:ind w:firstLine="480" w:firstLineChars="200"/>
        <w:rPr>
          <w:rFonts w:ascii="Times New Roman" w:hAnsi="Times New Roman" w:eastAsia="宋体" w:cs="Times New Roman"/>
          <w:sz w:val="24"/>
          <w:szCs w:val="28"/>
        </w:rPr>
      </w:pPr>
      <w:r>
        <w:rPr>
          <w:rFonts w:hint="eastAsia" w:ascii="Times New Roman" w:hAnsi="Times New Roman" w:eastAsia="宋体" w:cs="Times New Roman"/>
          <w:sz w:val="24"/>
          <w:szCs w:val="28"/>
        </w:rPr>
        <w:t>该</w:t>
      </w:r>
      <w:r>
        <w:rPr>
          <w:rFonts w:hint="eastAsia" w:cs="Times New Roman"/>
          <w:color w:val="auto"/>
          <w:sz w:val="24"/>
          <w:szCs w:val="28"/>
          <w:lang w:val="en-US" w:eastAsia="zh-CN"/>
        </w:rPr>
        <w:t>构件工厂</w:t>
      </w:r>
      <w:r>
        <w:rPr>
          <w:rFonts w:hint="eastAsia" w:ascii="Times New Roman" w:hAnsi="Times New Roman" w:eastAsia="宋体" w:cs="Times New Roman"/>
          <w:color w:val="auto"/>
          <w:sz w:val="24"/>
          <w:szCs w:val="28"/>
        </w:rPr>
        <w:t>配备了柴油</w:t>
      </w:r>
      <w:r>
        <w:rPr>
          <w:rFonts w:hint="eastAsia" w:cs="Times New Roman"/>
          <w:color w:val="auto"/>
          <w:sz w:val="24"/>
          <w:szCs w:val="28"/>
          <w:lang w:val="en-US" w:eastAsia="zh-CN"/>
        </w:rPr>
        <w:t>叉车</w:t>
      </w:r>
      <w:r>
        <w:rPr>
          <w:rFonts w:hint="eastAsia" w:ascii="Times New Roman" w:hAnsi="Times New Roman" w:eastAsia="宋体" w:cs="Times New Roman"/>
          <w:color w:val="auto"/>
          <w:sz w:val="24"/>
          <w:szCs w:val="28"/>
        </w:rPr>
        <w:t>，</w:t>
      </w:r>
      <w:r>
        <w:rPr>
          <w:rFonts w:hint="eastAsia" w:cs="Times New Roman"/>
          <w:color w:val="auto"/>
          <w:sz w:val="24"/>
          <w:szCs w:val="28"/>
          <w:lang w:eastAsia="zh-CN"/>
        </w:rPr>
        <w:t>批次</w:t>
      </w:r>
      <w:r>
        <w:rPr>
          <w:rFonts w:hint="eastAsia" w:ascii="Times New Roman" w:hAnsi="Times New Roman" w:eastAsia="宋体" w:cs="Times New Roman"/>
          <w:color w:val="auto"/>
          <w:sz w:val="24"/>
          <w:szCs w:val="28"/>
        </w:rPr>
        <w:t>消耗柴油</w:t>
      </w:r>
      <w:r>
        <w:rPr>
          <w:rFonts w:hint="eastAsia" w:cs="Times New Roman"/>
          <w:color w:val="auto"/>
          <w:sz w:val="24"/>
          <w:szCs w:val="28"/>
          <w:lang w:val="en-US" w:eastAsia="zh-CN"/>
        </w:rPr>
        <w:t>58t</w:t>
      </w:r>
      <w:r>
        <w:rPr>
          <w:rFonts w:hint="eastAsia" w:ascii="Times New Roman" w:hAnsi="Times New Roman" w:eastAsia="宋体" w:cs="Times New Roman"/>
          <w:color w:val="auto"/>
          <w:sz w:val="24"/>
          <w:szCs w:val="28"/>
        </w:rPr>
        <w:t>，柴油的碳排放因子为</w:t>
      </w:r>
      <w:r>
        <w:rPr>
          <w:rFonts w:hint="eastAsia" w:cs="Times New Roman"/>
          <w:color w:val="auto"/>
          <w:sz w:val="24"/>
          <w:szCs w:val="28"/>
          <w:lang w:val="en-US" w:eastAsia="zh-CN"/>
        </w:rPr>
        <w:t xml:space="preserve">74.1 </w:t>
      </w:r>
      <w:r>
        <w:rPr>
          <w:rFonts w:ascii="Times New Roman" w:hAnsi="Times New Roman" w:eastAsia="宋体" w:cs="Times New Roman"/>
          <w:color w:val="auto"/>
          <w:sz w:val="24"/>
          <w:szCs w:val="28"/>
        </w:rPr>
        <w:t>tCO</w:t>
      </w:r>
      <w:r>
        <w:rPr>
          <w:rFonts w:ascii="Times New Roman" w:hAnsi="Times New Roman" w:eastAsia="宋体" w:cs="Times New Roman"/>
          <w:color w:val="auto"/>
          <w:sz w:val="24"/>
          <w:szCs w:val="28"/>
          <w:vertAlign w:val="subscript"/>
        </w:rPr>
        <w:t>2</w:t>
      </w:r>
      <w:r>
        <w:rPr>
          <w:rFonts w:ascii="Times New Roman" w:hAnsi="Times New Roman" w:eastAsia="宋体" w:cs="Times New Roman"/>
          <w:color w:val="auto"/>
          <w:sz w:val="24"/>
          <w:szCs w:val="28"/>
        </w:rPr>
        <w:t>/</w:t>
      </w:r>
      <w:r>
        <w:rPr>
          <w:rFonts w:hint="eastAsia" w:cs="Times New Roman"/>
          <w:color w:val="auto"/>
          <w:sz w:val="24"/>
          <w:szCs w:val="28"/>
          <w:lang w:val="en-US" w:eastAsia="zh-CN"/>
        </w:rPr>
        <w:t>T</w:t>
      </w:r>
      <w:r>
        <w:rPr>
          <w:rFonts w:ascii="Times New Roman" w:hAnsi="Times New Roman" w:eastAsia="宋体" w:cs="Times New Roman"/>
          <w:color w:val="auto"/>
          <w:sz w:val="24"/>
          <w:szCs w:val="28"/>
        </w:rPr>
        <w:t>J</w:t>
      </w:r>
      <w:r>
        <w:rPr>
          <w:rFonts w:hint="eastAsia" w:ascii="Times New Roman" w:hAnsi="Times New Roman" w:eastAsia="宋体" w:cs="Times New Roman"/>
          <w:color w:val="auto"/>
          <w:sz w:val="24"/>
          <w:szCs w:val="28"/>
        </w:rPr>
        <w:t>，热值为</w:t>
      </w:r>
      <w:r>
        <w:rPr>
          <w:rFonts w:hint="eastAsia" w:cs="Times New Roman"/>
          <w:color w:val="auto"/>
          <w:sz w:val="24"/>
          <w:szCs w:val="28"/>
          <w:lang w:val="en-US" w:eastAsia="zh-CN"/>
        </w:rPr>
        <w:t>3.3</w:t>
      </w:r>
      <w:r>
        <w:rPr>
          <w:rFonts w:hint="eastAsia" w:ascii="Times New Roman" w:hAnsi="Times New Roman" w:eastAsia="宋体" w:cs="Times New Roman"/>
          <w:color w:val="auto"/>
          <w:sz w:val="24"/>
          <w:szCs w:val="28"/>
        </w:rPr>
        <w:t>×</w:t>
      </w:r>
      <w:r>
        <w:rPr>
          <w:rFonts w:hint="eastAsia" w:cs="Times New Roman"/>
          <w:color w:val="auto"/>
          <w:sz w:val="24"/>
          <w:szCs w:val="28"/>
          <w:lang w:val="en-US" w:eastAsia="zh-CN"/>
        </w:rPr>
        <w:t>10</w:t>
      </w:r>
      <w:r>
        <w:rPr>
          <w:rFonts w:hint="eastAsia" w:cs="Times New Roman"/>
          <w:color w:val="auto"/>
          <w:sz w:val="24"/>
          <w:szCs w:val="28"/>
          <w:vertAlign w:val="superscript"/>
          <w:lang w:val="en-US" w:eastAsia="zh-CN"/>
        </w:rPr>
        <w:t>-5</w:t>
      </w:r>
      <w:r>
        <w:rPr>
          <w:rFonts w:hint="eastAsia" w:cs="Times New Roman"/>
          <w:color w:val="auto"/>
          <w:sz w:val="24"/>
          <w:szCs w:val="28"/>
          <w:lang w:val="en-US" w:eastAsia="zh-CN"/>
        </w:rPr>
        <w:t>TJ</w:t>
      </w:r>
      <w:r>
        <w:rPr>
          <w:rFonts w:ascii="Times New Roman" w:hAnsi="Times New Roman" w:eastAsia="宋体" w:cs="Times New Roman"/>
          <w:color w:val="auto"/>
          <w:sz w:val="24"/>
          <w:szCs w:val="28"/>
        </w:rPr>
        <w:t>/L</w:t>
      </w:r>
      <w:r>
        <w:rPr>
          <w:rFonts w:hint="eastAsia" w:ascii="Times New Roman" w:hAnsi="Times New Roman" w:eastAsia="宋体" w:cs="Times New Roman"/>
          <w:color w:val="auto"/>
          <w:sz w:val="24"/>
          <w:szCs w:val="28"/>
        </w:rPr>
        <w:t>，柴油</w:t>
      </w:r>
      <w:r>
        <w:rPr>
          <w:rFonts w:hint="eastAsia" w:cs="Times New Roman"/>
          <w:color w:val="auto"/>
          <w:sz w:val="24"/>
          <w:szCs w:val="28"/>
          <w:lang w:val="en-US" w:eastAsia="zh-CN"/>
        </w:rPr>
        <w:t>叉车</w:t>
      </w:r>
      <w:r>
        <w:rPr>
          <w:rFonts w:hint="eastAsia" w:ascii="Times New Roman" w:hAnsi="Times New Roman" w:eastAsia="宋体" w:cs="Times New Roman"/>
          <w:color w:val="auto"/>
          <w:sz w:val="24"/>
          <w:szCs w:val="28"/>
        </w:rPr>
        <w:t>产生的排放量为</w:t>
      </w:r>
      <w:r>
        <w:rPr>
          <w:rFonts w:hint="eastAsia" w:cs="Times New Roman"/>
          <w:color w:val="auto"/>
          <w:sz w:val="24"/>
          <w:szCs w:val="28"/>
          <w:lang w:val="en-US" w:eastAsia="zh-CN"/>
        </w:rPr>
        <w:t>58t</w:t>
      </w:r>
      <w:r>
        <w:rPr>
          <w:rFonts w:hint="eastAsia" w:ascii="Times New Roman" w:hAnsi="Times New Roman" w:eastAsia="宋体" w:cs="Times New Roman"/>
          <w:color w:val="auto"/>
          <w:sz w:val="24"/>
          <w:szCs w:val="28"/>
        </w:rPr>
        <w:t>×</w:t>
      </w:r>
      <w:r>
        <w:rPr>
          <w:rFonts w:hint="eastAsia" w:cs="Times New Roman"/>
          <w:color w:val="auto"/>
          <w:sz w:val="24"/>
          <w:szCs w:val="28"/>
          <w:lang w:val="en-US" w:eastAsia="zh-CN"/>
        </w:rPr>
        <w:t>3.3</w:t>
      </w:r>
      <w:r>
        <w:rPr>
          <w:rFonts w:hint="eastAsia" w:ascii="Times New Roman" w:hAnsi="Times New Roman" w:eastAsia="宋体" w:cs="Times New Roman"/>
          <w:color w:val="auto"/>
          <w:sz w:val="24"/>
          <w:szCs w:val="28"/>
        </w:rPr>
        <w:t>×</w:t>
      </w:r>
      <w:r>
        <w:rPr>
          <w:rFonts w:hint="eastAsia" w:cs="Times New Roman"/>
          <w:color w:val="auto"/>
          <w:sz w:val="24"/>
          <w:szCs w:val="28"/>
          <w:lang w:val="en-US" w:eastAsia="zh-CN"/>
        </w:rPr>
        <w:t>10</w:t>
      </w:r>
      <w:r>
        <w:rPr>
          <w:rFonts w:hint="eastAsia" w:cs="Times New Roman"/>
          <w:color w:val="auto"/>
          <w:sz w:val="24"/>
          <w:szCs w:val="28"/>
          <w:vertAlign w:val="superscript"/>
          <w:lang w:val="en-US" w:eastAsia="zh-CN"/>
        </w:rPr>
        <w:t>-5</w:t>
      </w:r>
      <w:r>
        <w:rPr>
          <w:rFonts w:hint="eastAsia" w:cs="Times New Roman"/>
          <w:color w:val="auto"/>
          <w:sz w:val="24"/>
          <w:szCs w:val="28"/>
          <w:lang w:val="en-US" w:eastAsia="zh-CN"/>
        </w:rPr>
        <w:t>TJ</w:t>
      </w:r>
      <w:r>
        <w:rPr>
          <w:rFonts w:ascii="Times New Roman" w:hAnsi="Times New Roman" w:eastAsia="宋体" w:cs="Times New Roman"/>
          <w:color w:val="auto"/>
          <w:sz w:val="24"/>
          <w:szCs w:val="28"/>
        </w:rPr>
        <w:t>/L</w:t>
      </w:r>
      <w:r>
        <w:rPr>
          <w:rFonts w:hint="eastAsia" w:ascii="Times New Roman" w:hAnsi="Times New Roman" w:eastAsia="宋体" w:cs="Times New Roman"/>
          <w:color w:val="auto"/>
          <w:sz w:val="24"/>
          <w:szCs w:val="28"/>
        </w:rPr>
        <w:t>×</w:t>
      </w:r>
      <w:r>
        <w:rPr>
          <w:rFonts w:hint="eastAsia" w:cs="Times New Roman"/>
          <w:color w:val="auto"/>
          <w:sz w:val="24"/>
          <w:szCs w:val="28"/>
          <w:lang w:val="en-US" w:eastAsia="zh-CN"/>
        </w:rPr>
        <w:t>74.1</w:t>
      </w:r>
      <w:r>
        <w:rPr>
          <w:rFonts w:ascii="Times New Roman" w:hAnsi="Times New Roman" w:eastAsia="宋体" w:cs="Times New Roman"/>
          <w:color w:val="auto"/>
          <w:sz w:val="24"/>
          <w:szCs w:val="28"/>
        </w:rPr>
        <w:t xml:space="preserve"> tCO</w:t>
      </w:r>
      <w:r>
        <w:rPr>
          <w:rFonts w:ascii="Times New Roman" w:hAnsi="Times New Roman" w:eastAsia="宋体" w:cs="Times New Roman"/>
          <w:color w:val="auto"/>
          <w:sz w:val="24"/>
          <w:szCs w:val="28"/>
          <w:vertAlign w:val="subscript"/>
        </w:rPr>
        <w:t>2</w:t>
      </w:r>
      <w:r>
        <w:rPr>
          <w:rFonts w:ascii="Times New Roman" w:hAnsi="Times New Roman" w:eastAsia="宋体" w:cs="Times New Roman"/>
          <w:color w:val="auto"/>
          <w:sz w:val="24"/>
          <w:szCs w:val="28"/>
        </w:rPr>
        <w:t>/</w:t>
      </w:r>
      <w:r>
        <w:rPr>
          <w:rFonts w:hint="eastAsia" w:cs="Times New Roman"/>
          <w:color w:val="auto"/>
          <w:sz w:val="24"/>
          <w:szCs w:val="28"/>
          <w:lang w:val="en-US" w:eastAsia="zh-CN"/>
        </w:rPr>
        <w:t>T</w:t>
      </w:r>
      <w:r>
        <w:rPr>
          <w:rFonts w:ascii="Times New Roman" w:hAnsi="Times New Roman" w:eastAsia="宋体" w:cs="Times New Roman"/>
          <w:color w:val="auto"/>
          <w:sz w:val="24"/>
          <w:szCs w:val="28"/>
        </w:rPr>
        <w:t>J=</w:t>
      </w:r>
      <w:r>
        <w:rPr>
          <w:rFonts w:hint="eastAsia" w:cs="Times New Roman"/>
          <w:color w:val="auto"/>
          <w:sz w:val="24"/>
          <w:szCs w:val="28"/>
          <w:lang w:val="en-US" w:eastAsia="zh-CN"/>
        </w:rPr>
        <w:t>0.14t</w:t>
      </w:r>
      <w:r>
        <w:rPr>
          <w:rFonts w:ascii="Times New Roman" w:hAnsi="Times New Roman" w:eastAsia="宋体" w:cs="Times New Roman"/>
          <w:color w:val="auto"/>
          <w:sz w:val="24"/>
          <w:szCs w:val="28"/>
        </w:rPr>
        <w:t>。</w:t>
      </w:r>
      <w:r>
        <w:rPr>
          <w:rFonts w:hint="eastAsia" w:ascii="Times New Roman" w:hAnsi="Times New Roman" w:eastAsia="宋体" w:cs="Times New Roman"/>
          <w:color w:val="auto"/>
          <w:sz w:val="24"/>
          <w:szCs w:val="28"/>
        </w:rPr>
        <w:t>柴油消耗量</w:t>
      </w:r>
      <w:r>
        <w:rPr>
          <w:rFonts w:hint="eastAsia" w:ascii="Times New Roman" w:hAnsi="Times New Roman" w:eastAsia="宋体" w:cs="Times New Roman"/>
          <w:sz w:val="24"/>
          <w:szCs w:val="28"/>
        </w:rPr>
        <w:t>是通过加油站的加油机统计，加油机的相对标准测量不确定度为</w:t>
      </w:r>
      <w:r>
        <w:rPr>
          <w:rFonts w:ascii="Times New Roman" w:hAnsi="Times New Roman" w:eastAsia="宋体" w:cs="Times New Roman"/>
          <w:sz w:val="24"/>
          <w:szCs w:val="28"/>
        </w:rPr>
        <w:t>0.21%，</w:t>
      </w:r>
      <w:r>
        <w:rPr>
          <w:rFonts w:hint="eastAsia" w:ascii="Times New Roman" w:hAnsi="Times New Roman" w:eastAsia="宋体" w:cs="Times New Roman"/>
          <w:sz w:val="24"/>
          <w:szCs w:val="28"/>
        </w:rPr>
        <w:t>柴油</w:t>
      </w:r>
      <w:r>
        <w:rPr>
          <w:rFonts w:ascii="Times New Roman" w:hAnsi="Times New Roman" w:eastAsia="宋体" w:cs="Times New Roman"/>
          <w:sz w:val="24"/>
          <w:szCs w:val="28"/>
        </w:rPr>
        <w:t>的低位发热量使用量热仪进行测量，量热</w:t>
      </w:r>
      <w:r>
        <w:rPr>
          <w:rFonts w:hint="eastAsia" w:ascii="Times New Roman" w:hAnsi="Times New Roman" w:eastAsia="宋体" w:cs="Times New Roman"/>
          <w:sz w:val="24"/>
          <w:szCs w:val="28"/>
        </w:rPr>
        <w:t>仪相对标准测量不确定度为</w:t>
      </w:r>
      <w:r>
        <w:rPr>
          <w:rFonts w:ascii="Times New Roman" w:hAnsi="Times New Roman" w:eastAsia="宋体" w:cs="Times New Roman"/>
          <w:sz w:val="24"/>
          <w:szCs w:val="28"/>
        </w:rPr>
        <w:t>1.52%</w:t>
      </w:r>
      <w:r>
        <w:rPr>
          <w:rFonts w:hint="eastAsia" w:ascii="Times New Roman" w:hAnsi="Times New Roman" w:eastAsia="宋体" w:cs="Times New Roman"/>
          <w:sz w:val="24"/>
          <w:szCs w:val="28"/>
        </w:rPr>
        <w:t>。</w:t>
      </w:r>
    </w:p>
    <w:p w14:paraId="7E537B7E">
      <w:pPr>
        <w:spacing w:line="360" w:lineRule="auto"/>
        <w:ind w:firstLine="480" w:firstLineChars="200"/>
        <w:rPr>
          <w:rFonts w:ascii="Times New Roman" w:hAnsi="Times New Roman" w:eastAsia="宋体" w:cs="Times New Roman"/>
          <w:sz w:val="24"/>
          <w:szCs w:val="28"/>
        </w:rPr>
      </w:pPr>
      <w:r>
        <w:rPr>
          <w:rFonts w:ascii="Times New Roman" w:hAnsi="Times New Roman" w:eastAsia="宋体" w:cs="Times New Roman"/>
          <w:sz w:val="24"/>
          <w:szCs w:val="28"/>
        </w:rPr>
        <w:t>为评估采样不确定度，对同批次</w:t>
      </w:r>
      <w:r>
        <w:rPr>
          <w:rFonts w:hint="eastAsia" w:ascii="Times New Roman" w:hAnsi="Times New Roman" w:eastAsia="宋体" w:cs="Times New Roman"/>
          <w:sz w:val="24"/>
          <w:szCs w:val="28"/>
        </w:rPr>
        <w:t>柴油</w:t>
      </w:r>
      <w:r>
        <w:rPr>
          <w:rFonts w:ascii="Times New Roman" w:hAnsi="Times New Roman" w:eastAsia="宋体" w:cs="Times New Roman"/>
          <w:sz w:val="24"/>
          <w:szCs w:val="28"/>
        </w:rPr>
        <w:t>进行了10次采样测量，</w:t>
      </w:r>
      <w:r>
        <w:rPr>
          <w:rFonts w:hint="eastAsia" w:ascii="Times New Roman" w:hAnsi="Times New Roman" w:eastAsia="宋体" w:cs="Times New Roman"/>
          <w:sz w:val="24"/>
          <w:szCs w:val="28"/>
        </w:rPr>
        <w:t>低位发热量结果为：</w:t>
      </w:r>
      <w:r>
        <w:rPr>
          <w:rFonts w:ascii="Times New Roman" w:hAnsi="Times New Roman" w:eastAsia="宋体" w:cs="Times New Roman"/>
          <w:sz w:val="24"/>
          <w:szCs w:val="28"/>
        </w:rPr>
        <w:t>41.498GJ/t、41.515GJ/t、41.523GJ/t、41.507 GJ/t、41.483GJ/t</w:t>
      </w:r>
      <w:r>
        <w:rPr>
          <w:rFonts w:hint="eastAsia" w:ascii="Times New Roman" w:hAnsi="Times New Roman" w:eastAsia="宋体" w:cs="Times New Roman"/>
          <w:sz w:val="24"/>
          <w:szCs w:val="28"/>
        </w:rPr>
        <w:t>、4</w:t>
      </w:r>
      <w:r>
        <w:rPr>
          <w:rFonts w:ascii="Times New Roman" w:hAnsi="Times New Roman" w:eastAsia="宋体" w:cs="Times New Roman"/>
          <w:sz w:val="24"/>
          <w:szCs w:val="28"/>
        </w:rPr>
        <w:t>1.535GJ/t</w:t>
      </w:r>
      <w:r>
        <w:rPr>
          <w:rFonts w:hint="eastAsia" w:ascii="Times New Roman" w:hAnsi="Times New Roman" w:eastAsia="宋体" w:cs="Times New Roman"/>
          <w:sz w:val="24"/>
          <w:szCs w:val="28"/>
        </w:rPr>
        <w:t>、4</w:t>
      </w:r>
      <w:r>
        <w:rPr>
          <w:rFonts w:ascii="Times New Roman" w:hAnsi="Times New Roman" w:eastAsia="宋体" w:cs="Times New Roman"/>
          <w:sz w:val="24"/>
          <w:szCs w:val="28"/>
        </w:rPr>
        <w:t>1.479GJ/t</w:t>
      </w:r>
      <w:r>
        <w:rPr>
          <w:rFonts w:hint="eastAsia" w:ascii="Times New Roman" w:hAnsi="Times New Roman" w:eastAsia="宋体" w:cs="Times New Roman"/>
          <w:sz w:val="24"/>
          <w:szCs w:val="28"/>
        </w:rPr>
        <w:t>、4</w:t>
      </w:r>
      <w:r>
        <w:rPr>
          <w:rFonts w:ascii="Times New Roman" w:hAnsi="Times New Roman" w:eastAsia="宋体" w:cs="Times New Roman"/>
          <w:sz w:val="24"/>
          <w:szCs w:val="28"/>
        </w:rPr>
        <w:t>1.556GJ/t</w:t>
      </w:r>
      <w:r>
        <w:rPr>
          <w:rFonts w:hint="eastAsia" w:ascii="Times New Roman" w:hAnsi="Times New Roman" w:eastAsia="宋体" w:cs="Times New Roman"/>
          <w:sz w:val="24"/>
          <w:szCs w:val="28"/>
        </w:rPr>
        <w:t>、4</w:t>
      </w:r>
      <w:r>
        <w:rPr>
          <w:rFonts w:ascii="Times New Roman" w:hAnsi="Times New Roman" w:eastAsia="宋体" w:cs="Times New Roman"/>
          <w:sz w:val="24"/>
          <w:szCs w:val="28"/>
        </w:rPr>
        <w:t>1.544GJ/t</w:t>
      </w:r>
      <w:r>
        <w:rPr>
          <w:rFonts w:hint="eastAsia" w:ascii="Times New Roman" w:hAnsi="Times New Roman" w:eastAsia="宋体" w:cs="Times New Roman"/>
          <w:sz w:val="24"/>
          <w:szCs w:val="28"/>
        </w:rPr>
        <w:t>、4</w:t>
      </w:r>
      <w:r>
        <w:rPr>
          <w:rFonts w:ascii="Times New Roman" w:hAnsi="Times New Roman" w:eastAsia="宋体" w:cs="Times New Roman"/>
          <w:sz w:val="24"/>
          <w:szCs w:val="28"/>
        </w:rPr>
        <w:t>1.463GJ/t，则</w:t>
      </w:r>
      <w:r>
        <w:rPr>
          <w:rFonts w:hint="eastAsia" w:ascii="Times New Roman" w:hAnsi="Times New Roman" w:eastAsia="宋体" w:cs="Times New Roman"/>
          <w:sz w:val="24"/>
          <w:szCs w:val="28"/>
        </w:rPr>
        <w:t>其低位发热量采样不确定度为：</w:t>
      </w:r>
    </w:p>
    <w:p w14:paraId="1D7D9499">
      <w:pPr>
        <w:pStyle w:val="39"/>
      </w:pPr>
      <w:r>
        <w:rPr>
          <w:position w:val="-34"/>
        </w:rPr>
        <w:object>
          <v:shape id="_x0000_i1039" o:spt="75" type="#_x0000_t75" style="height:44.9pt;width:188.9pt;" o:ole="t" filled="f" o:preferrelative="t" stroked="f" coordsize="21600,21600">
            <v:path/>
            <v:fill on="f" focussize="0,0"/>
            <v:stroke on="f" joinstyle="miter"/>
            <v:imagedata r:id="rId46" o:title=""/>
            <o:lock v:ext="edit" aspectratio="t"/>
            <w10:wrap type="none"/>
            <w10:anchorlock/>
          </v:shape>
          <o:OLEObject Type="Embed" ProgID="Equation.DSMT4" ShapeID="_x0000_i1039" DrawAspect="Content" ObjectID="_1468075739" r:id="rId45">
            <o:LockedField>false</o:LockedField>
          </o:OLEObject>
        </w:object>
      </w:r>
      <w:r>
        <w:t xml:space="preserve"> </w:t>
      </w:r>
    </w:p>
    <w:p w14:paraId="70470E80">
      <w:pPr>
        <w:spacing w:line="360" w:lineRule="auto"/>
        <w:ind w:firstLine="480" w:firstLineChars="200"/>
        <w:rPr>
          <w:rFonts w:ascii="Times New Roman" w:hAnsi="Times New Roman" w:eastAsia="宋体" w:cs="Times New Roman"/>
          <w:sz w:val="24"/>
          <w:szCs w:val="28"/>
        </w:rPr>
      </w:pPr>
      <w:r>
        <w:rPr>
          <w:rFonts w:hint="eastAsia" w:ascii="Times New Roman" w:hAnsi="Times New Roman" w:eastAsia="宋体" w:cs="Times New Roman"/>
          <w:sz w:val="24"/>
          <w:szCs w:val="28"/>
        </w:rPr>
        <w:t>其低位发热量不确定度为：</w:t>
      </w:r>
    </w:p>
    <w:p w14:paraId="1733BC6D">
      <w:pPr>
        <w:pStyle w:val="39"/>
      </w:pPr>
      <w:r>
        <w:rPr>
          <w:position w:val="-24"/>
        </w:rPr>
        <w:object>
          <v:shape id="_x0000_i1040" o:spt="75" type="#_x0000_t75" style="height:33.05pt;width:282.05pt;" o:ole="t" filled="f" o:preferrelative="t" stroked="f" coordsize="21600,21600">
            <v:path/>
            <v:fill on="f" focussize="0,0"/>
            <v:stroke on="f" joinstyle="miter"/>
            <v:imagedata r:id="rId48" o:title=""/>
            <o:lock v:ext="edit" aspectratio="t"/>
            <w10:wrap type="none"/>
            <w10:anchorlock/>
          </v:shape>
          <o:OLEObject Type="Embed" ProgID="Equation.DSMT4" ShapeID="_x0000_i1040" DrawAspect="Content" ObjectID="_1468075740" r:id="rId47">
            <o:LockedField>false</o:LockedField>
          </o:OLEObject>
        </w:object>
      </w:r>
      <w:r>
        <w:t xml:space="preserve"> </w:t>
      </w:r>
    </w:p>
    <w:p w14:paraId="1489D220">
      <w:pPr>
        <w:spacing w:line="360" w:lineRule="auto"/>
        <w:ind w:firstLine="480" w:firstLineChars="200"/>
        <w:rPr>
          <w:rFonts w:ascii="Times New Roman" w:hAnsi="Times New Roman" w:eastAsia="宋体" w:cs="Times New Roman"/>
          <w:sz w:val="24"/>
          <w:szCs w:val="28"/>
        </w:rPr>
      </w:pPr>
      <w:r>
        <w:rPr>
          <w:rFonts w:hint="eastAsia" w:ascii="Times New Roman" w:hAnsi="Times New Roman" w:eastAsia="宋体" w:cs="Times New Roman"/>
          <w:sz w:val="24"/>
          <w:szCs w:val="28"/>
        </w:rPr>
        <w:t>因此该</w:t>
      </w:r>
      <w:r>
        <w:rPr>
          <w:rFonts w:hint="eastAsia" w:cs="Times New Roman"/>
          <w:sz w:val="24"/>
          <w:szCs w:val="28"/>
          <w:lang w:val="en-US" w:eastAsia="zh-CN"/>
        </w:rPr>
        <w:t>构件工厂</w:t>
      </w:r>
      <w:r>
        <w:rPr>
          <w:rFonts w:hint="eastAsia" w:ascii="Times New Roman" w:hAnsi="Times New Roman" w:eastAsia="宋体" w:cs="Times New Roman"/>
          <w:sz w:val="24"/>
          <w:szCs w:val="28"/>
        </w:rPr>
        <w:t>用柴油活动数据的不确定度为：</w:t>
      </w:r>
    </w:p>
    <w:p w14:paraId="7917A84C">
      <w:pPr>
        <w:pStyle w:val="39"/>
      </w:pPr>
      <w:r>
        <w:rPr>
          <w:position w:val="-34"/>
        </w:rPr>
        <w:object>
          <v:shape id="_x0000_i1041" o:spt="75" type="#_x0000_t75" style="height:43.6pt;width:300.55pt;" o:ole="t" filled="f" o:preferrelative="t" stroked="f" coordsize="21600,21600">
            <v:path/>
            <v:fill on="f" focussize="0,0"/>
            <v:stroke on="f" joinstyle="miter"/>
            <v:imagedata r:id="rId50" o:title=""/>
            <o:lock v:ext="edit" aspectratio="t"/>
            <w10:wrap type="none"/>
            <w10:anchorlock/>
          </v:shape>
          <o:OLEObject Type="Embed" ProgID="Equation.DSMT4" ShapeID="_x0000_i1041" DrawAspect="Content" ObjectID="_1468075741" r:id="rId49">
            <o:LockedField>false</o:LockedField>
          </o:OLEObject>
        </w:object>
      </w:r>
      <w:r>
        <w:t xml:space="preserve"> </w:t>
      </w:r>
    </w:p>
    <w:p w14:paraId="71EB5E4D">
      <w:pPr>
        <w:spacing w:line="360" w:lineRule="auto"/>
        <w:ind w:firstLine="480" w:firstLineChars="200"/>
        <w:rPr>
          <w:rFonts w:ascii="Times New Roman" w:hAnsi="Times New Roman" w:eastAsia="宋体" w:cs="Times New Roman"/>
          <w:sz w:val="24"/>
          <w:szCs w:val="28"/>
        </w:rPr>
      </w:pPr>
      <w:r>
        <w:rPr>
          <w:rFonts w:hint="eastAsia" w:ascii="Times New Roman" w:hAnsi="Times New Roman" w:eastAsia="宋体" w:cs="Times New Roman"/>
          <w:sz w:val="24"/>
          <w:szCs w:val="28"/>
        </w:rPr>
        <w:t>由于该</w:t>
      </w:r>
      <w:r>
        <w:rPr>
          <w:rFonts w:hint="eastAsia" w:cs="Times New Roman"/>
          <w:sz w:val="24"/>
          <w:szCs w:val="28"/>
          <w:lang w:val="en-US" w:eastAsia="zh-CN"/>
        </w:rPr>
        <w:t>构件工厂</w:t>
      </w:r>
      <w:r>
        <w:rPr>
          <w:rFonts w:hint="eastAsia" w:ascii="Times New Roman" w:hAnsi="Times New Roman" w:eastAsia="宋体" w:cs="Times New Roman"/>
          <w:sz w:val="24"/>
          <w:szCs w:val="28"/>
        </w:rPr>
        <w:t>不具备测定柴油碳氧化率的条件，碳氧化率采用了默认值，因此其排放因子的不确定度仅考虑柴油单位发热量含碳量测量不确定度，柴油的含碳量使用元素分析仪进行测量，为评估含碳量采样不确定度，对同批次柴油进行了</w:t>
      </w:r>
      <w:r>
        <w:rPr>
          <w:rFonts w:ascii="Times New Roman" w:hAnsi="Times New Roman" w:eastAsia="宋体" w:cs="Times New Roman"/>
          <w:sz w:val="24"/>
          <w:szCs w:val="28"/>
        </w:rPr>
        <w:t>10次采样测量，含碳量结果为：</w:t>
      </w:r>
      <w:r>
        <w:rPr>
          <w:rFonts w:hint="eastAsia" w:ascii="Times New Roman" w:hAnsi="Times New Roman" w:eastAsia="宋体" w:cs="Times New Roman"/>
          <w:sz w:val="24"/>
          <w:szCs w:val="28"/>
        </w:rPr>
        <w:t>8</w:t>
      </w:r>
      <w:r>
        <w:rPr>
          <w:rFonts w:ascii="Times New Roman" w:hAnsi="Times New Roman" w:eastAsia="宋体" w:cs="Times New Roman"/>
          <w:sz w:val="24"/>
          <w:szCs w:val="28"/>
        </w:rPr>
        <w:t>6.23%、86.35%、</w:t>
      </w:r>
      <w:r>
        <w:rPr>
          <w:rFonts w:hint="eastAsia" w:ascii="Times New Roman" w:hAnsi="Times New Roman" w:eastAsia="宋体" w:cs="Times New Roman"/>
          <w:sz w:val="24"/>
          <w:szCs w:val="28"/>
        </w:rPr>
        <w:t>8</w:t>
      </w:r>
      <w:r>
        <w:rPr>
          <w:rFonts w:ascii="Times New Roman" w:hAnsi="Times New Roman" w:eastAsia="宋体" w:cs="Times New Roman"/>
          <w:sz w:val="24"/>
          <w:szCs w:val="28"/>
        </w:rPr>
        <w:t>5.94%</w:t>
      </w:r>
      <w:r>
        <w:rPr>
          <w:rFonts w:hint="eastAsia" w:ascii="Times New Roman" w:hAnsi="Times New Roman" w:eastAsia="宋体" w:cs="Times New Roman"/>
          <w:sz w:val="24"/>
          <w:szCs w:val="28"/>
        </w:rPr>
        <w:t>、</w:t>
      </w:r>
      <w:r>
        <w:rPr>
          <w:rFonts w:ascii="Times New Roman" w:hAnsi="Times New Roman" w:eastAsia="宋体" w:cs="Times New Roman"/>
          <w:sz w:val="24"/>
          <w:szCs w:val="28"/>
        </w:rPr>
        <w:t>86.13%、</w:t>
      </w:r>
      <w:r>
        <w:rPr>
          <w:rFonts w:hint="eastAsia" w:ascii="Times New Roman" w:hAnsi="Times New Roman" w:eastAsia="宋体" w:cs="Times New Roman"/>
          <w:sz w:val="24"/>
          <w:szCs w:val="28"/>
        </w:rPr>
        <w:t>8</w:t>
      </w:r>
      <w:r>
        <w:rPr>
          <w:rFonts w:ascii="Times New Roman" w:hAnsi="Times New Roman" w:eastAsia="宋体" w:cs="Times New Roman"/>
          <w:sz w:val="24"/>
          <w:szCs w:val="28"/>
        </w:rPr>
        <w:t>5.79%</w:t>
      </w:r>
      <w:r>
        <w:rPr>
          <w:rFonts w:hint="eastAsia" w:ascii="Times New Roman" w:hAnsi="Times New Roman" w:eastAsia="宋体" w:cs="Times New Roman"/>
          <w:sz w:val="24"/>
          <w:szCs w:val="28"/>
        </w:rPr>
        <w:t>、8</w:t>
      </w:r>
      <w:r>
        <w:rPr>
          <w:rFonts w:ascii="Times New Roman" w:hAnsi="Times New Roman" w:eastAsia="宋体" w:cs="Times New Roman"/>
          <w:sz w:val="24"/>
          <w:szCs w:val="28"/>
        </w:rPr>
        <w:t>5.84%</w:t>
      </w:r>
      <w:r>
        <w:rPr>
          <w:rFonts w:hint="eastAsia" w:ascii="Times New Roman" w:hAnsi="Times New Roman" w:eastAsia="宋体" w:cs="Times New Roman"/>
          <w:sz w:val="24"/>
          <w:szCs w:val="28"/>
        </w:rPr>
        <w:t>、</w:t>
      </w:r>
      <w:r>
        <w:rPr>
          <w:rFonts w:ascii="Times New Roman" w:hAnsi="Times New Roman" w:eastAsia="宋体" w:cs="Times New Roman"/>
          <w:sz w:val="24"/>
          <w:szCs w:val="28"/>
        </w:rPr>
        <w:t>86.30%、86.07%</w:t>
      </w:r>
      <w:r>
        <w:rPr>
          <w:rFonts w:hint="eastAsia" w:ascii="Times New Roman" w:hAnsi="Times New Roman" w:eastAsia="宋体" w:cs="Times New Roman"/>
          <w:sz w:val="24"/>
          <w:szCs w:val="28"/>
        </w:rPr>
        <w:t>、8</w:t>
      </w:r>
      <w:r>
        <w:rPr>
          <w:rFonts w:ascii="Times New Roman" w:hAnsi="Times New Roman" w:eastAsia="宋体" w:cs="Times New Roman"/>
          <w:sz w:val="24"/>
          <w:szCs w:val="28"/>
        </w:rPr>
        <w:t>5.96%</w:t>
      </w:r>
      <w:r>
        <w:rPr>
          <w:rFonts w:hint="eastAsia" w:ascii="Times New Roman" w:hAnsi="Times New Roman" w:eastAsia="宋体" w:cs="Times New Roman"/>
          <w:sz w:val="24"/>
          <w:szCs w:val="28"/>
        </w:rPr>
        <w:t>、8</w:t>
      </w:r>
      <w:r>
        <w:rPr>
          <w:rFonts w:ascii="Times New Roman" w:hAnsi="Times New Roman" w:eastAsia="宋体" w:cs="Times New Roman"/>
          <w:sz w:val="24"/>
          <w:szCs w:val="28"/>
        </w:rPr>
        <w:t>5.88%，则其含碳量采样不确定度为：</w:t>
      </w:r>
    </w:p>
    <w:p w14:paraId="651CE39E">
      <w:pPr>
        <w:pStyle w:val="39"/>
      </w:pPr>
      <w:r>
        <w:rPr>
          <w:position w:val="-34"/>
        </w:rPr>
        <w:object>
          <v:shape id="_x0000_i1042" o:spt="75" type="#_x0000_t75" style="height:44.9pt;width:192.2pt;" o:ole="t" filled="f" o:preferrelative="t" stroked="f" coordsize="21600,21600">
            <v:path/>
            <v:fill on="f" focussize="0,0"/>
            <v:stroke on="f" joinstyle="miter"/>
            <v:imagedata r:id="rId52" o:title=""/>
            <o:lock v:ext="edit" aspectratio="t"/>
            <w10:wrap type="none"/>
            <w10:anchorlock/>
          </v:shape>
          <o:OLEObject Type="Embed" ProgID="Equation.DSMT4" ShapeID="_x0000_i1042" DrawAspect="Content" ObjectID="_1468075742" r:id="rId51">
            <o:LockedField>false</o:LockedField>
          </o:OLEObject>
        </w:object>
      </w:r>
      <w:r>
        <w:t xml:space="preserve"> </w:t>
      </w:r>
    </w:p>
    <w:p w14:paraId="27C76DA1">
      <w:pPr>
        <w:spacing w:line="360" w:lineRule="auto"/>
        <w:ind w:firstLine="480" w:firstLineChars="200"/>
        <w:rPr>
          <w:rFonts w:ascii="Times New Roman" w:hAnsi="Times New Roman" w:eastAsia="宋体" w:cs="Times New Roman"/>
          <w:sz w:val="24"/>
          <w:szCs w:val="28"/>
        </w:rPr>
      </w:pPr>
      <w:r>
        <w:rPr>
          <w:rFonts w:hint="eastAsia" w:ascii="Times New Roman" w:hAnsi="Times New Roman" w:eastAsia="宋体" w:cs="Times New Roman"/>
          <w:sz w:val="24"/>
          <w:szCs w:val="28"/>
        </w:rPr>
        <w:t>元素分析仪测量不确定度为</w:t>
      </w:r>
      <w:r>
        <w:rPr>
          <w:rFonts w:ascii="Times New Roman" w:hAnsi="Times New Roman" w:eastAsia="宋体" w:cs="Times New Roman"/>
          <w:sz w:val="24"/>
          <w:szCs w:val="28"/>
        </w:rPr>
        <w:t>2.14%，结合采样引起的不确定度，其排放因子不确定度为</w:t>
      </w:r>
      <w:r>
        <w:rPr>
          <w:rFonts w:hint="eastAsia" w:ascii="Times New Roman" w:hAnsi="Times New Roman" w:eastAsia="宋体" w:cs="Times New Roman"/>
          <w:sz w:val="24"/>
          <w:szCs w:val="28"/>
        </w:rPr>
        <w:t>：</w:t>
      </w:r>
    </w:p>
    <w:p w14:paraId="57F0620C">
      <w:pPr>
        <w:pStyle w:val="39"/>
        <w:ind w:firstLine="0" w:firstLineChars="0"/>
      </w:pPr>
      <w:r>
        <w:rPr>
          <w:position w:val="-24"/>
        </w:rPr>
        <w:object>
          <v:shape id="_x0000_i1043" o:spt="75" type="#_x0000_t75" style="height:33.05pt;width:469.65pt;" o:ole="t" filled="f" o:preferrelative="t" stroked="f" coordsize="21600,21600">
            <v:path/>
            <v:fill on="f" focussize="0,0"/>
            <v:stroke on="f" joinstyle="miter"/>
            <v:imagedata r:id="rId54" o:title=""/>
            <o:lock v:ext="edit" aspectratio="t"/>
            <w10:wrap type="none"/>
            <w10:anchorlock/>
          </v:shape>
          <o:OLEObject Type="Embed" ProgID="Equation.DSMT4" ShapeID="_x0000_i1043" DrawAspect="Content" ObjectID="_1468075743" r:id="rId53">
            <o:LockedField>false</o:LockedField>
          </o:OLEObject>
        </w:object>
      </w:r>
      <w:r>
        <w:t xml:space="preserve"> </w:t>
      </w:r>
    </w:p>
    <w:p w14:paraId="28C57AAD">
      <w:pPr>
        <w:keepNext w:val="0"/>
        <w:keepLines w:val="0"/>
        <w:pageBreakBefore w:val="0"/>
        <w:widowControl w:val="0"/>
        <w:kinsoku/>
        <w:wordWrap/>
        <w:overflowPunct/>
        <w:topLinePunct w:val="0"/>
        <w:autoSpaceDE/>
        <w:autoSpaceDN/>
        <w:bidi w:val="0"/>
        <w:adjustRightInd/>
        <w:snapToGrid/>
        <w:spacing w:line="360" w:lineRule="auto"/>
        <w:textAlignment w:val="auto"/>
        <w:rPr>
          <w:rFonts w:ascii="Times New Roman" w:hAnsi="Times New Roman" w:eastAsia="宋体" w:cs="Times New Roman"/>
          <w:sz w:val="24"/>
          <w:szCs w:val="28"/>
        </w:rPr>
      </w:pPr>
      <m:oMathPara>
        <m:oMathParaPr>
          <m:jc m:val="center"/>
        </m:oMathParaPr>
        <m:oMath>
          <m:f>
            <m:fPr>
              <m:ctrlPr>
                <w:rPr>
                  <w:rFonts w:ascii="Cambria Math" w:hAnsi="Cambria Math" w:eastAsia="宋体" w:cs="Times New Roman"/>
                  <w:i/>
                  <w:sz w:val="24"/>
                  <w:szCs w:val="28"/>
                </w:rPr>
              </m:ctrlPr>
            </m:fPr>
            <m:num>
              <m:r>
                <m:rPr/>
                <w:rPr>
                  <w:rFonts w:hint="eastAsia" w:ascii="Cambria Math" w:hAnsi="Cambria Math" w:eastAsia="宋体" w:cs="Times New Roman"/>
                  <w:sz w:val="24"/>
                  <w:szCs w:val="28"/>
                </w:rPr>
                <m:t>u</m:t>
              </m:r>
              <m:d>
                <m:dPr>
                  <m:ctrlPr>
                    <w:rPr>
                      <w:rFonts w:ascii="Cambria Math" w:hAnsi="Cambria Math" w:eastAsia="宋体" w:cs="Times New Roman"/>
                      <w:i/>
                      <w:sz w:val="24"/>
                      <w:szCs w:val="28"/>
                    </w:rPr>
                  </m:ctrlPr>
                </m:dPr>
                <m:e>
                  <m:r>
                    <m:rPr/>
                    <w:rPr>
                      <w:rFonts w:ascii="Cambria Math" w:hAnsi="Cambria Math" w:eastAsia="宋体" w:cs="Times New Roman"/>
                      <w:sz w:val="24"/>
                      <w:szCs w:val="28"/>
                    </w:rPr>
                    <m:t>C</m:t>
                  </m:r>
                  <m:ctrlPr>
                    <w:rPr>
                      <w:rFonts w:ascii="Cambria Math" w:hAnsi="Cambria Math" w:eastAsia="宋体" w:cs="Times New Roman"/>
                      <w:i/>
                      <w:sz w:val="24"/>
                      <w:szCs w:val="28"/>
                    </w:rPr>
                  </m:ctrlPr>
                </m:e>
              </m:d>
              <m:ctrlPr>
                <w:rPr>
                  <w:rFonts w:ascii="Cambria Math" w:hAnsi="Cambria Math" w:eastAsia="宋体" w:cs="Times New Roman"/>
                  <w:i/>
                  <w:sz w:val="24"/>
                  <w:szCs w:val="28"/>
                </w:rPr>
              </m:ctrlPr>
            </m:num>
            <m:den>
              <m:r>
                <m:rPr/>
                <w:rPr>
                  <w:rFonts w:ascii="Cambria Math" w:hAnsi="Cambria Math" w:eastAsia="宋体" w:cs="Times New Roman"/>
                  <w:sz w:val="24"/>
                  <w:szCs w:val="28"/>
                </w:rPr>
                <m:t>C</m:t>
              </m:r>
              <m:ctrlPr>
                <w:rPr>
                  <w:rFonts w:ascii="Cambria Math" w:hAnsi="Cambria Math" w:eastAsia="宋体" w:cs="Times New Roman"/>
                  <w:i/>
                  <w:sz w:val="24"/>
                  <w:szCs w:val="28"/>
                </w:rPr>
              </m:ctrlPr>
            </m:den>
          </m:f>
          <m:r>
            <m:rPr/>
            <w:rPr>
              <w:rFonts w:ascii="Cambria Math" w:hAnsi="Cambria Math" w:eastAsia="宋体" w:cs="Times New Roman"/>
              <w:sz w:val="24"/>
              <w:szCs w:val="28"/>
            </w:rPr>
            <m:t>=</m:t>
          </m:r>
          <m:rad>
            <m:radPr>
              <m:degHide m:val="1"/>
              <m:ctrlPr>
                <w:rPr>
                  <w:rFonts w:ascii="Cambria Math" w:hAnsi="Cambria Math" w:eastAsia="宋体" w:cs="Times New Roman"/>
                  <w:i/>
                  <w:sz w:val="24"/>
                  <w:szCs w:val="28"/>
                </w:rPr>
              </m:ctrlPr>
            </m:radPr>
            <m:deg>
              <m:ctrlPr>
                <w:rPr>
                  <w:rFonts w:ascii="Cambria Math" w:hAnsi="Cambria Math" w:eastAsia="宋体" w:cs="Times New Roman"/>
                  <w:i/>
                  <w:sz w:val="24"/>
                  <w:szCs w:val="28"/>
                </w:rPr>
              </m:ctrlPr>
            </m:deg>
            <m:e>
              <m:sSup>
                <m:sSupPr>
                  <m:ctrlPr>
                    <w:rPr>
                      <w:rFonts w:ascii="Cambria Math" w:hAnsi="Cambria Math" w:eastAsia="宋体" w:cs="Times New Roman"/>
                      <w:i/>
                      <w:sz w:val="24"/>
                      <w:szCs w:val="28"/>
                    </w:rPr>
                  </m:ctrlPr>
                </m:sSupPr>
                <m:e>
                  <m:d>
                    <m:dPr>
                      <m:ctrlPr>
                        <w:rPr>
                          <w:rFonts w:ascii="Cambria Math" w:hAnsi="Cambria Math" w:eastAsia="宋体" w:cs="Times New Roman"/>
                          <w:i/>
                          <w:sz w:val="24"/>
                          <w:szCs w:val="28"/>
                        </w:rPr>
                      </m:ctrlPr>
                    </m:dPr>
                    <m:e>
                      <m:sSub>
                        <m:sSubPr>
                          <m:ctrlPr>
                            <w:rPr>
                              <w:rFonts w:ascii="Cambria Math" w:hAnsi="Cambria Math" w:eastAsia="宋体" w:cs="Times New Roman"/>
                              <w:i/>
                              <w:sz w:val="24"/>
                              <w:szCs w:val="28"/>
                            </w:rPr>
                          </m:ctrlPr>
                        </m:sSubPr>
                        <m:e>
                          <m:r>
                            <m:rPr/>
                            <w:rPr>
                              <w:rFonts w:hint="eastAsia" w:ascii="Cambria Math" w:hAnsi="Cambria Math" w:eastAsia="宋体" w:cs="Times New Roman"/>
                              <w:sz w:val="24"/>
                              <w:szCs w:val="28"/>
                            </w:rPr>
                            <m:t>u</m:t>
                          </m:r>
                          <m:ctrlPr>
                            <w:rPr>
                              <w:rFonts w:ascii="Cambria Math" w:hAnsi="Cambria Math" w:eastAsia="宋体" w:cs="Times New Roman"/>
                              <w:i/>
                              <w:sz w:val="24"/>
                              <w:szCs w:val="28"/>
                            </w:rPr>
                          </m:ctrlPr>
                        </m:e>
                        <m:sub>
                          <m:r>
                            <m:rPr>
                              <m:sty m:val="p"/>
                            </m:rPr>
                            <w:rPr>
                              <w:rFonts w:hint="eastAsia" w:ascii="Cambria Math" w:hAnsi="Cambria Math" w:eastAsia="宋体" w:cs="Times New Roman"/>
                              <w:sz w:val="24"/>
                              <w:szCs w:val="28"/>
                            </w:rPr>
                            <m:t>碳采</m:t>
                          </m:r>
                          <m:ctrlPr>
                            <w:rPr>
                              <w:rFonts w:ascii="Cambria Math" w:hAnsi="Cambria Math" w:eastAsia="宋体" w:cs="Times New Roman"/>
                              <w:i/>
                              <w:sz w:val="24"/>
                              <w:szCs w:val="28"/>
                            </w:rPr>
                          </m:ctrlPr>
                        </m:sub>
                      </m:sSub>
                      <m:ctrlPr>
                        <w:rPr>
                          <w:rFonts w:ascii="Cambria Math" w:hAnsi="Cambria Math" w:eastAsia="宋体" w:cs="Times New Roman"/>
                          <w:i/>
                          <w:sz w:val="24"/>
                          <w:szCs w:val="28"/>
                        </w:rPr>
                      </m:ctrlPr>
                    </m:e>
                  </m:d>
                  <m:ctrlPr>
                    <w:rPr>
                      <w:rFonts w:ascii="Cambria Math" w:hAnsi="Cambria Math" w:eastAsia="宋体" w:cs="Times New Roman"/>
                      <w:i/>
                      <w:sz w:val="24"/>
                      <w:szCs w:val="28"/>
                    </w:rPr>
                  </m:ctrlPr>
                </m:e>
                <m:sup>
                  <m:r>
                    <m:rPr/>
                    <w:rPr>
                      <w:rFonts w:ascii="Cambria Math" w:hAnsi="Cambria Math" w:eastAsia="宋体" w:cs="Times New Roman"/>
                      <w:sz w:val="24"/>
                      <w:szCs w:val="28"/>
                    </w:rPr>
                    <m:t>2</m:t>
                  </m:r>
                  <m:ctrlPr>
                    <w:rPr>
                      <w:rFonts w:ascii="Cambria Math" w:hAnsi="Cambria Math" w:eastAsia="宋体" w:cs="Times New Roman"/>
                      <w:i/>
                      <w:sz w:val="24"/>
                      <w:szCs w:val="28"/>
                    </w:rPr>
                  </m:ctrlPr>
                </m:sup>
              </m:sSup>
              <m:r>
                <m:rPr/>
                <w:rPr>
                  <w:rFonts w:ascii="Cambria Math" w:hAnsi="Cambria Math" w:eastAsia="宋体" w:cs="Times New Roman"/>
                  <w:sz w:val="24"/>
                  <w:szCs w:val="28"/>
                </w:rPr>
                <m:t>+</m:t>
              </m:r>
              <m:sSup>
                <m:sSupPr>
                  <m:ctrlPr>
                    <w:rPr>
                      <w:rFonts w:ascii="Cambria Math" w:hAnsi="Cambria Math" w:eastAsia="宋体" w:cs="Times New Roman"/>
                      <w:i/>
                      <w:sz w:val="24"/>
                      <w:szCs w:val="28"/>
                    </w:rPr>
                  </m:ctrlPr>
                </m:sSupPr>
                <m:e>
                  <m:d>
                    <m:dPr>
                      <m:ctrlPr>
                        <w:rPr>
                          <w:rFonts w:ascii="Cambria Math" w:hAnsi="Cambria Math" w:eastAsia="宋体" w:cs="Times New Roman"/>
                          <w:i/>
                          <w:sz w:val="24"/>
                          <w:szCs w:val="28"/>
                        </w:rPr>
                      </m:ctrlPr>
                    </m:dPr>
                    <m:e>
                      <m:sSub>
                        <m:sSubPr>
                          <m:ctrlPr>
                            <w:rPr>
                              <w:rFonts w:ascii="Cambria Math" w:hAnsi="Cambria Math" w:eastAsia="宋体" w:cs="Times New Roman"/>
                              <w:i/>
                              <w:sz w:val="24"/>
                              <w:szCs w:val="28"/>
                            </w:rPr>
                          </m:ctrlPr>
                        </m:sSubPr>
                        <m:e>
                          <m:r>
                            <m:rPr/>
                            <w:rPr>
                              <w:rFonts w:hint="eastAsia" w:ascii="Cambria Math" w:hAnsi="Cambria Math" w:eastAsia="宋体" w:cs="Times New Roman"/>
                              <w:sz w:val="24"/>
                              <w:szCs w:val="28"/>
                            </w:rPr>
                            <m:t>u</m:t>
                          </m:r>
                          <m:ctrlPr>
                            <w:rPr>
                              <w:rFonts w:ascii="Cambria Math" w:hAnsi="Cambria Math" w:eastAsia="宋体" w:cs="Times New Roman"/>
                              <w:i/>
                              <w:sz w:val="24"/>
                              <w:szCs w:val="28"/>
                            </w:rPr>
                          </m:ctrlPr>
                        </m:e>
                        <m:sub>
                          <m:r>
                            <m:rPr/>
                            <w:rPr>
                              <w:rFonts w:ascii="Cambria Math" w:hAnsi="Cambria Math" w:eastAsia="宋体" w:cs="Times New Roman"/>
                              <w:sz w:val="24"/>
                              <w:szCs w:val="28"/>
                            </w:rPr>
                            <m:t>N</m:t>
                          </m:r>
                          <m:r>
                            <m:rPr>
                              <m:sty m:val="p"/>
                            </m:rPr>
                            <w:rPr>
                              <w:rFonts w:hint="eastAsia" w:ascii="Cambria Math" w:hAnsi="Cambria Math" w:eastAsia="宋体" w:cs="Times New Roman"/>
                              <w:sz w:val="24"/>
                              <w:szCs w:val="28"/>
                            </w:rPr>
                            <m:t>采</m:t>
                          </m:r>
                          <m:ctrlPr>
                            <w:rPr>
                              <w:rFonts w:ascii="Cambria Math" w:hAnsi="Cambria Math" w:eastAsia="宋体" w:cs="Times New Roman"/>
                              <w:i/>
                              <w:sz w:val="24"/>
                              <w:szCs w:val="28"/>
                            </w:rPr>
                          </m:ctrlPr>
                        </m:sub>
                      </m:sSub>
                      <m:ctrlPr>
                        <w:rPr>
                          <w:rFonts w:ascii="Cambria Math" w:hAnsi="Cambria Math" w:eastAsia="宋体" w:cs="Times New Roman"/>
                          <w:i/>
                          <w:sz w:val="24"/>
                          <w:szCs w:val="28"/>
                        </w:rPr>
                      </m:ctrlPr>
                    </m:e>
                  </m:d>
                  <m:ctrlPr>
                    <w:rPr>
                      <w:rFonts w:ascii="Cambria Math" w:hAnsi="Cambria Math" w:eastAsia="宋体" w:cs="Times New Roman"/>
                      <w:i/>
                      <w:sz w:val="24"/>
                      <w:szCs w:val="28"/>
                    </w:rPr>
                  </m:ctrlPr>
                </m:e>
                <m:sup>
                  <m:r>
                    <m:rPr/>
                    <w:rPr>
                      <w:rFonts w:ascii="Cambria Math" w:hAnsi="Cambria Math" w:eastAsia="宋体" w:cs="Times New Roman"/>
                      <w:sz w:val="24"/>
                      <w:szCs w:val="28"/>
                    </w:rPr>
                    <m:t>2</m:t>
                  </m:r>
                  <m:ctrlPr>
                    <w:rPr>
                      <w:rFonts w:ascii="Cambria Math" w:hAnsi="Cambria Math" w:eastAsia="宋体" w:cs="Times New Roman"/>
                      <w:i/>
                      <w:sz w:val="24"/>
                      <w:szCs w:val="28"/>
                    </w:rPr>
                  </m:ctrlPr>
                </m:sup>
              </m:sSup>
              <m:r>
                <m:rPr/>
                <w:rPr>
                  <w:rFonts w:ascii="Cambria Math" w:hAnsi="Cambria Math" w:eastAsia="宋体" w:cs="Times New Roman"/>
                  <w:sz w:val="24"/>
                  <w:szCs w:val="28"/>
                </w:rPr>
                <m:t>+</m:t>
              </m:r>
              <m:sSup>
                <m:sSupPr>
                  <m:ctrlPr>
                    <w:rPr>
                      <w:rFonts w:ascii="Cambria Math" w:hAnsi="Cambria Math" w:eastAsia="宋体" w:cs="Times New Roman"/>
                      <w:i/>
                      <w:sz w:val="24"/>
                      <w:szCs w:val="28"/>
                    </w:rPr>
                  </m:ctrlPr>
                </m:sSupPr>
                <m:e>
                  <m:d>
                    <m:dPr>
                      <m:ctrlPr>
                        <w:rPr>
                          <w:rFonts w:ascii="Cambria Math" w:hAnsi="Cambria Math" w:eastAsia="宋体" w:cs="Times New Roman"/>
                          <w:i/>
                          <w:sz w:val="24"/>
                          <w:szCs w:val="28"/>
                        </w:rPr>
                      </m:ctrlPr>
                    </m:dPr>
                    <m:e>
                      <m:sSub>
                        <m:sSubPr>
                          <m:ctrlPr>
                            <w:rPr>
                              <w:rFonts w:ascii="Cambria Math" w:hAnsi="Cambria Math" w:eastAsia="宋体" w:cs="Times New Roman"/>
                              <w:i/>
                              <w:sz w:val="24"/>
                              <w:szCs w:val="28"/>
                            </w:rPr>
                          </m:ctrlPr>
                        </m:sSubPr>
                        <m:e>
                          <m:r>
                            <m:rPr/>
                            <w:rPr>
                              <w:rFonts w:hint="eastAsia" w:ascii="Cambria Math" w:hAnsi="Cambria Math" w:eastAsia="宋体" w:cs="Times New Roman"/>
                              <w:sz w:val="24"/>
                              <w:szCs w:val="28"/>
                            </w:rPr>
                            <m:t>u</m:t>
                          </m:r>
                          <m:ctrlPr>
                            <w:rPr>
                              <w:rFonts w:ascii="Cambria Math" w:hAnsi="Cambria Math" w:eastAsia="宋体" w:cs="Times New Roman"/>
                              <w:i/>
                              <w:sz w:val="24"/>
                              <w:szCs w:val="28"/>
                            </w:rPr>
                          </m:ctrlPr>
                        </m:e>
                        <m:sub>
                          <m:r>
                            <m:rPr>
                              <m:sty m:val="p"/>
                            </m:rPr>
                            <w:rPr>
                              <w:rFonts w:hint="eastAsia" w:ascii="Cambria Math" w:hAnsi="Cambria Math" w:eastAsia="宋体" w:cs="Times New Roman"/>
                              <w:sz w:val="24"/>
                              <w:szCs w:val="28"/>
                            </w:rPr>
                            <m:t>碳测</m:t>
                          </m:r>
                          <m:ctrlPr>
                            <w:rPr>
                              <w:rFonts w:ascii="Cambria Math" w:hAnsi="Cambria Math" w:eastAsia="宋体" w:cs="Times New Roman"/>
                              <w:i/>
                              <w:sz w:val="24"/>
                              <w:szCs w:val="28"/>
                            </w:rPr>
                          </m:ctrlPr>
                        </m:sub>
                      </m:sSub>
                      <m:ctrlPr>
                        <w:rPr>
                          <w:rFonts w:ascii="Cambria Math" w:hAnsi="Cambria Math" w:eastAsia="宋体" w:cs="Times New Roman"/>
                          <w:i/>
                          <w:sz w:val="24"/>
                          <w:szCs w:val="28"/>
                        </w:rPr>
                      </m:ctrlPr>
                    </m:e>
                  </m:d>
                  <m:ctrlPr>
                    <w:rPr>
                      <w:rFonts w:ascii="Cambria Math" w:hAnsi="Cambria Math" w:eastAsia="宋体" w:cs="Times New Roman"/>
                      <w:i/>
                      <w:sz w:val="24"/>
                      <w:szCs w:val="28"/>
                    </w:rPr>
                  </m:ctrlPr>
                </m:e>
                <m:sup>
                  <m:r>
                    <m:rPr/>
                    <w:rPr>
                      <w:rFonts w:ascii="Cambria Math" w:hAnsi="Cambria Math" w:eastAsia="宋体" w:cs="Times New Roman"/>
                      <w:sz w:val="24"/>
                      <w:szCs w:val="28"/>
                    </w:rPr>
                    <m:t>2</m:t>
                  </m:r>
                  <m:ctrlPr>
                    <w:rPr>
                      <w:rFonts w:ascii="Cambria Math" w:hAnsi="Cambria Math" w:eastAsia="宋体" w:cs="Times New Roman"/>
                      <w:i/>
                      <w:sz w:val="24"/>
                      <w:szCs w:val="28"/>
                    </w:rPr>
                  </m:ctrlPr>
                </m:sup>
              </m:sSup>
              <m:r>
                <m:rPr/>
                <w:rPr>
                  <w:rFonts w:ascii="Cambria Math" w:hAnsi="Cambria Math" w:eastAsia="宋体" w:cs="Times New Roman"/>
                  <w:sz w:val="24"/>
                  <w:szCs w:val="28"/>
                </w:rPr>
                <m:t>+</m:t>
              </m:r>
              <m:sSup>
                <m:sSupPr>
                  <m:ctrlPr>
                    <w:rPr>
                      <w:rFonts w:ascii="Cambria Math" w:hAnsi="Cambria Math" w:eastAsia="宋体" w:cs="Times New Roman"/>
                      <w:i/>
                      <w:sz w:val="24"/>
                      <w:szCs w:val="28"/>
                    </w:rPr>
                  </m:ctrlPr>
                </m:sSupPr>
                <m:e>
                  <m:d>
                    <m:dPr>
                      <m:ctrlPr>
                        <w:rPr>
                          <w:rFonts w:ascii="Cambria Math" w:hAnsi="Cambria Math" w:eastAsia="宋体" w:cs="Times New Roman"/>
                          <w:i/>
                          <w:sz w:val="24"/>
                          <w:szCs w:val="28"/>
                        </w:rPr>
                      </m:ctrlPr>
                    </m:dPr>
                    <m:e>
                      <m:sSub>
                        <m:sSubPr>
                          <m:ctrlPr>
                            <w:rPr>
                              <w:rFonts w:ascii="Cambria Math" w:hAnsi="Cambria Math" w:eastAsia="宋体" w:cs="Times New Roman"/>
                              <w:i/>
                              <w:sz w:val="24"/>
                              <w:szCs w:val="28"/>
                            </w:rPr>
                          </m:ctrlPr>
                        </m:sSubPr>
                        <m:e>
                          <m:r>
                            <m:rPr/>
                            <w:rPr>
                              <w:rFonts w:hint="eastAsia" w:ascii="Cambria Math" w:hAnsi="Cambria Math" w:eastAsia="宋体" w:cs="Times New Roman"/>
                              <w:sz w:val="24"/>
                              <w:szCs w:val="28"/>
                            </w:rPr>
                            <m:t>u</m:t>
                          </m:r>
                          <m:ctrlPr>
                            <w:rPr>
                              <w:rFonts w:ascii="Cambria Math" w:hAnsi="Cambria Math" w:eastAsia="宋体" w:cs="Times New Roman"/>
                              <w:i/>
                              <w:sz w:val="24"/>
                              <w:szCs w:val="28"/>
                            </w:rPr>
                          </m:ctrlPr>
                        </m:e>
                        <m:sub>
                          <m:r>
                            <m:rPr>
                              <m:sty m:val="p"/>
                            </m:rPr>
                            <w:rPr>
                              <w:rFonts w:hint="eastAsia" w:ascii="Cambria Math" w:hAnsi="Cambria Math" w:eastAsia="宋体" w:cs="Times New Roman"/>
                              <w:sz w:val="24"/>
                              <w:szCs w:val="28"/>
                            </w:rPr>
                            <m:t>热测</m:t>
                          </m:r>
                          <m:ctrlPr>
                            <w:rPr>
                              <w:rFonts w:ascii="Cambria Math" w:hAnsi="Cambria Math" w:eastAsia="宋体" w:cs="Times New Roman"/>
                              <w:i/>
                              <w:sz w:val="24"/>
                              <w:szCs w:val="28"/>
                            </w:rPr>
                          </m:ctrlPr>
                        </m:sub>
                      </m:sSub>
                      <m:ctrlPr>
                        <w:rPr>
                          <w:rFonts w:ascii="Cambria Math" w:hAnsi="Cambria Math" w:eastAsia="宋体" w:cs="Times New Roman"/>
                          <w:i/>
                          <w:sz w:val="24"/>
                          <w:szCs w:val="28"/>
                        </w:rPr>
                      </m:ctrlPr>
                    </m:e>
                  </m:d>
                  <m:ctrlPr>
                    <w:rPr>
                      <w:rFonts w:ascii="Cambria Math" w:hAnsi="Cambria Math" w:eastAsia="宋体" w:cs="Times New Roman"/>
                      <w:i/>
                      <w:sz w:val="24"/>
                      <w:szCs w:val="28"/>
                    </w:rPr>
                  </m:ctrlPr>
                </m:e>
                <m:sup>
                  <m:r>
                    <m:rPr/>
                    <w:rPr>
                      <w:rFonts w:ascii="Cambria Math" w:hAnsi="Cambria Math" w:eastAsia="宋体" w:cs="Times New Roman"/>
                      <w:sz w:val="24"/>
                      <w:szCs w:val="28"/>
                    </w:rPr>
                    <m:t>2</m:t>
                  </m:r>
                  <m:ctrlPr>
                    <w:rPr>
                      <w:rFonts w:ascii="Cambria Math" w:hAnsi="Cambria Math" w:eastAsia="宋体" w:cs="Times New Roman"/>
                      <w:i/>
                      <w:sz w:val="24"/>
                      <w:szCs w:val="28"/>
                    </w:rPr>
                  </m:ctrlPr>
                </m:sup>
              </m:sSup>
              <m:ctrlPr>
                <w:rPr>
                  <w:rFonts w:ascii="Cambria Math" w:hAnsi="Cambria Math" w:eastAsia="宋体" w:cs="Times New Roman"/>
                  <w:i/>
                  <w:sz w:val="24"/>
                  <w:szCs w:val="28"/>
                </w:rPr>
              </m:ctrlPr>
            </m:e>
          </m:rad>
          <m:r>
            <m:rPr/>
            <w:rPr>
              <w:rFonts w:ascii="Cambria Math" w:hAnsi="Cambria Math" w:eastAsia="宋体" w:cs="Times New Roman"/>
              <w:sz w:val="24"/>
              <w:szCs w:val="28"/>
            </w:rPr>
            <m:t>=</m:t>
          </m:r>
          <m:rad>
            <m:radPr>
              <m:degHide m:val="1"/>
              <m:ctrlPr>
                <w:rPr>
                  <w:rFonts w:ascii="Cambria Math" w:hAnsi="Cambria Math" w:eastAsia="宋体" w:cs="Times New Roman"/>
                  <w:i/>
                  <w:sz w:val="24"/>
                  <w:szCs w:val="28"/>
                </w:rPr>
              </m:ctrlPr>
            </m:radPr>
            <m:deg>
              <m:ctrlPr>
                <w:rPr>
                  <w:rFonts w:ascii="Cambria Math" w:hAnsi="Cambria Math" w:eastAsia="宋体" w:cs="Times New Roman"/>
                  <w:i/>
                  <w:sz w:val="24"/>
                  <w:szCs w:val="28"/>
                </w:rPr>
              </m:ctrlPr>
            </m:deg>
            <m:e>
              <m:sSup>
                <m:sSupPr>
                  <m:ctrlPr>
                    <w:rPr>
                      <w:rFonts w:ascii="Cambria Math" w:hAnsi="Cambria Math" w:eastAsia="宋体" w:cs="Times New Roman"/>
                      <w:i/>
                      <w:sz w:val="24"/>
                      <w:szCs w:val="28"/>
                    </w:rPr>
                  </m:ctrlPr>
                </m:sSupPr>
                <m:e>
                  <m:r>
                    <m:rPr/>
                    <w:rPr>
                      <w:rFonts w:ascii="Cambria Math" w:hAnsi="Cambria Math" w:eastAsia="宋体" w:cs="Times New Roman"/>
                      <w:sz w:val="24"/>
                      <w:szCs w:val="28"/>
                    </w:rPr>
                    <m:t>0.0005</m:t>
                  </m:r>
                  <m:ctrlPr>
                    <w:rPr>
                      <w:rFonts w:ascii="Cambria Math" w:hAnsi="Cambria Math" w:eastAsia="宋体" w:cs="Times New Roman"/>
                      <w:i/>
                      <w:sz w:val="24"/>
                      <w:szCs w:val="28"/>
                    </w:rPr>
                  </m:ctrlPr>
                </m:e>
                <m:sup>
                  <m:r>
                    <m:rPr/>
                    <w:rPr>
                      <w:rFonts w:ascii="Cambria Math" w:hAnsi="Cambria Math" w:eastAsia="宋体" w:cs="Times New Roman"/>
                      <w:sz w:val="24"/>
                      <w:szCs w:val="28"/>
                    </w:rPr>
                    <m:t>2</m:t>
                  </m:r>
                  <m:ctrlPr>
                    <w:rPr>
                      <w:rFonts w:ascii="Cambria Math" w:hAnsi="Cambria Math" w:eastAsia="宋体" w:cs="Times New Roman"/>
                      <w:i/>
                      <w:sz w:val="24"/>
                      <w:szCs w:val="28"/>
                    </w:rPr>
                  </m:ctrlPr>
                </m:sup>
              </m:sSup>
              <m:r>
                <m:rPr/>
                <w:rPr>
                  <w:rFonts w:ascii="Cambria Math" w:hAnsi="Cambria Math" w:eastAsia="宋体" w:cs="Times New Roman"/>
                  <w:sz w:val="24"/>
                  <w:szCs w:val="28"/>
                </w:rPr>
                <m:t>+</m:t>
              </m:r>
              <m:sSup>
                <m:sSupPr>
                  <m:ctrlPr>
                    <w:rPr>
                      <w:rFonts w:ascii="Cambria Math" w:hAnsi="Cambria Math" w:eastAsia="宋体" w:cs="Times New Roman"/>
                      <w:i/>
                      <w:sz w:val="24"/>
                      <w:szCs w:val="28"/>
                    </w:rPr>
                  </m:ctrlPr>
                </m:sSupPr>
                <m:e>
                  <m:r>
                    <m:rPr/>
                    <w:rPr>
                      <w:rFonts w:ascii="Cambria Math" w:hAnsi="Cambria Math" w:eastAsia="宋体" w:cs="Times New Roman"/>
                      <w:sz w:val="24"/>
                      <w:szCs w:val="28"/>
                    </w:rPr>
                    <m:t>0.0069</m:t>
                  </m:r>
                  <m:ctrlPr>
                    <w:rPr>
                      <w:rFonts w:ascii="Cambria Math" w:hAnsi="Cambria Math" w:eastAsia="宋体" w:cs="Times New Roman"/>
                      <w:i/>
                      <w:sz w:val="24"/>
                      <w:szCs w:val="28"/>
                    </w:rPr>
                  </m:ctrlPr>
                </m:e>
                <m:sup>
                  <m:r>
                    <m:rPr/>
                    <w:rPr>
                      <w:rFonts w:ascii="Cambria Math" w:hAnsi="Cambria Math" w:eastAsia="宋体" w:cs="Times New Roman"/>
                      <w:sz w:val="24"/>
                      <w:szCs w:val="28"/>
                    </w:rPr>
                    <m:t>2</m:t>
                  </m:r>
                  <m:ctrlPr>
                    <w:rPr>
                      <w:rFonts w:ascii="Cambria Math" w:hAnsi="Cambria Math" w:eastAsia="宋体" w:cs="Times New Roman"/>
                      <w:i/>
                      <w:sz w:val="24"/>
                      <w:szCs w:val="28"/>
                    </w:rPr>
                  </m:ctrlPr>
                </m:sup>
              </m:sSup>
              <m:r>
                <m:rPr/>
                <w:rPr>
                  <w:rFonts w:ascii="Cambria Math" w:hAnsi="Cambria Math" w:eastAsia="宋体" w:cs="Times New Roman"/>
                  <w:sz w:val="24"/>
                  <w:szCs w:val="28"/>
                </w:rPr>
                <m:t>+</m:t>
              </m:r>
              <m:sSup>
                <m:sSupPr>
                  <m:ctrlPr>
                    <w:rPr>
                      <w:rFonts w:ascii="Cambria Math" w:hAnsi="Cambria Math" w:eastAsia="宋体" w:cs="Times New Roman"/>
                      <w:i/>
                      <w:sz w:val="24"/>
                      <w:szCs w:val="28"/>
                    </w:rPr>
                  </m:ctrlPr>
                </m:sSupPr>
                <m:e>
                  <m:r>
                    <m:rPr/>
                    <w:rPr>
                      <w:rFonts w:ascii="Cambria Math" w:hAnsi="Cambria Math" w:eastAsia="宋体" w:cs="Times New Roman"/>
                      <w:sz w:val="24"/>
                      <w:szCs w:val="28"/>
                    </w:rPr>
                    <m:t>0.0214</m:t>
                  </m:r>
                  <m:ctrlPr>
                    <w:rPr>
                      <w:rFonts w:ascii="Cambria Math" w:hAnsi="Cambria Math" w:eastAsia="宋体" w:cs="Times New Roman"/>
                      <w:i/>
                      <w:sz w:val="24"/>
                      <w:szCs w:val="28"/>
                    </w:rPr>
                  </m:ctrlPr>
                </m:e>
                <m:sup>
                  <m:r>
                    <m:rPr/>
                    <w:rPr>
                      <w:rFonts w:ascii="Cambria Math" w:hAnsi="Cambria Math" w:eastAsia="宋体" w:cs="Times New Roman"/>
                      <w:sz w:val="24"/>
                      <w:szCs w:val="28"/>
                    </w:rPr>
                    <m:t>2</m:t>
                  </m:r>
                  <m:ctrlPr>
                    <w:rPr>
                      <w:rFonts w:ascii="Cambria Math" w:hAnsi="Cambria Math" w:eastAsia="宋体" w:cs="Times New Roman"/>
                      <w:i/>
                      <w:sz w:val="24"/>
                      <w:szCs w:val="28"/>
                    </w:rPr>
                  </m:ctrlPr>
                </m:sup>
              </m:sSup>
              <m:r>
                <m:rPr/>
                <w:rPr>
                  <w:rFonts w:ascii="Cambria Math" w:hAnsi="Cambria Math" w:eastAsia="宋体" w:cs="Times New Roman"/>
                  <w:sz w:val="24"/>
                  <w:szCs w:val="28"/>
                </w:rPr>
                <m:t>+</m:t>
              </m:r>
              <m:sSup>
                <m:sSupPr>
                  <m:ctrlPr>
                    <w:rPr>
                      <w:rFonts w:ascii="Cambria Math" w:hAnsi="Cambria Math" w:eastAsia="宋体" w:cs="Times New Roman"/>
                      <w:i/>
                      <w:sz w:val="24"/>
                      <w:szCs w:val="28"/>
                    </w:rPr>
                  </m:ctrlPr>
                </m:sSupPr>
                <m:e>
                  <m:r>
                    <m:rPr/>
                    <w:rPr>
                      <w:rFonts w:ascii="Cambria Math" w:hAnsi="Cambria Math" w:eastAsia="宋体" w:cs="Times New Roman"/>
                      <w:sz w:val="24"/>
                      <w:szCs w:val="28"/>
                    </w:rPr>
                    <m:t>0.0152</m:t>
                  </m:r>
                  <m:ctrlPr>
                    <w:rPr>
                      <w:rFonts w:ascii="Cambria Math" w:hAnsi="Cambria Math" w:eastAsia="宋体" w:cs="Times New Roman"/>
                      <w:i/>
                      <w:sz w:val="24"/>
                      <w:szCs w:val="28"/>
                    </w:rPr>
                  </m:ctrlPr>
                </m:e>
                <m:sup>
                  <m:r>
                    <m:rPr/>
                    <w:rPr>
                      <w:rFonts w:ascii="Cambria Math" w:hAnsi="Cambria Math" w:eastAsia="宋体" w:cs="Times New Roman"/>
                      <w:sz w:val="24"/>
                      <w:szCs w:val="28"/>
                    </w:rPr>
                    <m:t>2</m:t>
                  </m:r>
                  <m:ctrlPr>
                    <w:rPr>
                      <w:rFonts w:ascii="Cambria Math" w:hAnsi="Cambria Math" w:eastAsia="宋体" w:cs="Times New Roman"/>
                      <w:i/>
                      <w:sz w:val="24"/>
                      <w:szCs w:val="28"/>
                    </w:rPr>
                  </m:ctrlPr>
                </m:sup>
              </m:sSup>
              <m:ctrlPr>
                <w:rPr>
                  <w:rFonts w:ascii="Cambria Math" w:hAnsi="Cambria Math" w:eastAsia="宋体" w:cs="Times New Roman"/>
                  <w:i/>
                  <w:sz w:val="24"/>
                  <w:szCs w:val="28"/>
                </w:rPr>
              </m:ctrlPr>
            </m:e>
          </m:rad>
          <m:r>
            <m:rPr/>
            <w:rPr>
              <w:rFonts w:ascii="Cambria Math" w:hAnsi="Cambria Math" w:eastAsia="宋体" w:cs="Times New Roman"/>
              <w:sz w:val="24"/>
              <w:szCs w:val="28"/>
            </w:rPr>
            <m:t>=2.71%</m:t>
          </m:r>
        </m:oMath>
      </m:oMathPara>
    </w:p>
    <w:p w14:paraId="3B0019BC">
      <w:pPr>
        <w:spacing w:line="360" w:lineRule="auto"/>
        <w:ind w:firstLine="480" w:firstLineChars="200"/>
        <w:rPr>
          <w:rFonts w:ascii="Times New Roman" w:hAnsi="Times New Roman" w:eastAsia="宋体" w:cs="Times New Roman"/>
          <w:sz w:val="24"/>
          <w:szCs w:val="28"/>
        </w:rPr>
      </w:pPr>
      <w:r>
        <w:rPr>
          <w:rFonts w:hint="eastAsia" w:ascii="Times New Roman" w:hAnsi="Times New Roman" w:eastAsia="宋体" w:cs="Times New Roman"/>
          <w:sz w:val="24"/>
          <w:szCs w:val="28"/>
        </w:rPr>
        <w:t>柴油</w:t>
      </w:r>
      <w:r>
        <w:rPr>
          <w:rFonts w:hint="eastAsia" w:cs="Times New Roman"/>
          <w:sz w:val="24"/>
          <w:szCs w:val="28"/>
          <w:lang w:val="en-US" w:eastAsia="zh-CN"/>
        </w:rPr>
        <w:t>叉车</w:t>
      </w:r>
      <w:r>
        <w:rPr>
          <w:rFonts w:hint="eastAsia" w:ascii="Times New Roman" w:hAnsi="Times New Roman" w:eastAsia="宋体" w:cs="Times New Roman"/>
          <w:sz w:val="24"/>
          <w:szCs w:val="28"/>
        </w:rPr>
        <w:t>产生的排放量标准不确定度为：</w:t>
      </w:r>
    </w:p>
    <w:p w14:paraId="57B399E0">
      <w:pPr>
        <w:pStyle w:val="39"/>
        <w:rPr>
          <w:rFonts w:ascii="Times New Roman" w:hAnsi="Times New Roman" w:eastAsia="宋体" w:cs="Times New Roman"/>
          <w:sz w:val="24"/>
          <w:szCs w:val="28"/>
        </w:rPr>
      </w:pPr>
      <w:r>
        <w:rPr>
          <w:position w:val="-40"/>
        </w:rPr>
        <w:object>
          <v:shape id="_x0000_i1044" o:spt="75" type="#_x0000_t75" style="height:48.2pt;width:416.85pt;" o:ole="t" filled="f" o:preferrelative="t" stroked="f" coordsize="21600,21600">
            <v:path/>
            <v:fill on="f" focussize="0,0"/>
            <v:stroke on="f"/>
            <v:imagedata r:id="rId56" o:title=""/>
            <o:lock v:ext="edit" aspectratio="t"/>
            <w10:wrap type="none"/>
            <w10:anchorlock/>
          </v:shape>
          <o:OLEObject Type="Embed" ProgID="Equation.DSMT4" ShapeID="_x0000_i1044" DrawAspect="Content" ObjectID="_1468075744" r:id="rId55">
            <o:LockedField>false</o:LockedField>
          </o:OLEObject>
        </w:object>
      </w:r>
      <w:r>
        <w:rPr>
          <w:rFonts w:hint="eastAsia" w:ascii="Times New Roman" w:hAnsi="Times New Roman" w:eastAsia="宋体" w:cs="Times New Roman"/>
          <w:sz w:val="24"/>
          <w:szCs w:val="28"/>
        </w:rPr>
        <w:t>综合以上分析，该</w:t>
      </w:r>
      <w:r>
        <w:rPr>
          <w:rFonts w:hint="eastAsia" w:cs="Times New Roman"/>
          <w:sz w:val="24"/>
          <w:szCs w:val="28"/>
          <w:lang w:val="en-US" w:eastAsia="zh-CN"/>
        </w:rPr>
        <w:t>装配式建筑物化阶段</w:t>
      </w:r>
      <w:r>
        <w:rPr>
          <w:rFonts w:hint="eastAsia" w:ascii="Times New Roman" w:hAnsi="Times New Roman" w:eastAsia="宋体" w:cs="Times New Roman"/>
          <w:sz w:val="24"/>
          <w:szCs w:val="28"/>
        </w:rPr>
        <w:t>总碳排放量合成标准不确定度为</w:t>
      </w:r>
    </w:p>
    <w:p w14:paraId="7C0FA1D8">
      <w:pPr>
        <w:pStyle w:val="39"/>
      </w:pPr>
      <w:r>
        <w:rPr>
          <w:position w:val="-14"/>
        </w:rPr>
        <w:object>
          <v:shape id="_x0000_i1045" o:spt="75" type="#_x0000_t75" style="height:23.1pt;width:193.35pt;" o:ole="t" filled="f" o:preferrelative="t" stroked="f" coordsize="21600,21600">
            <v:path/>
            <v:fill on="f" focussize="0,0"/>
            <v:stroke on="f"/>
            <v:imagedata r:id="rId58" o:title=""/>
            <o:lock v:ext="edit" aspectratio="t"/>
            <w10:wrap type="none"/>
            <w10:anchorlock/>
          </v:shape>
          <o:OLEObject Type="Embed" ProgID="Equation.DSMT4" ShapeID="_x0000_i1045" DrawAspect="Content" ObjectID="_1468075745" r:id="rId57">
            <o:LockedField>false</o:LockedField>
          </o:OLEObject>
        </w:object>
      </w:r>
      <w:r>
        <w:t xml:space="preserve"> </w:t>
      </w:r>
    </w:p>
    <w:p w14:paraId="2BEC3541">
      <w:pPr>
        <w:rPr>
          <w:rFonts w:hint="default" w:ascii="Times New Roman" w:hAnsi="Times New Roman" w:cs="Times New Roman"/>
          <w:bCs/>
          <w:color w:val="auto"/>
          <w:kern w:val="0"/>
          <w:szCs w:val="24"/>
        </w:rPr>
      </w:pPr>
      <w:r>
        <w:rPr>
          <w:rFonts w:ascii="Times New Roman" w:hAnsi="Times New Roman" w:eastAsia="宋体" w:cs="Times New Roman"/>
          <w:sz w:val="24"/>
          <w:szCs w:val="28"/>
        </w:rPr>
        <w:t>相对不确定度为</w:t>
      </w:r>
      <w:r>
        <w:rPr>
          <w:rFonts w:hint="eastAsia" w:cs="Times New Roman"/>
          <w:sz w:val="24"/>
          <w:szCs w:val="28"/>
          <w:lang w:val="en-US" w:eastAsia="zh-CN"/>
        </w:rPr>
        <w:t>3.472</w:t>
      </w:r>
      <w:r>
        <w:rPr>
          <w:rFonts w:ascii="Times New Roman" w:hAnsi="Times New Roman" w:eastAsia="宋体" w:cs="Times New Roman"/>
          <w:sz w:val="24"/>
          <w:szCs w:val="28"/>
        </w:rPr>
        <w:t>/(</w:t>
      </w:r>
      <w:r>
        <w:rPr>
          <w:rFonts w:hint="eastAsia" w:cs="Times New Roman"/>
          <w:color w:val="auto"/>
          <w:sz w:val="24"/>
          <w:szCs w:val="28"/>
          <w:lang w:val="en-US" w:eastAsia="zh-CN"/>
        </w:rPr>
        <w:t>1735.92</w:t>
      </w:r>
      <w:r>
        <w:rPr>
          <w:rFonts w:ascii="Times New Roman" w:hAnsi="Times New Roman" w:eastAsia="宋体" w:cs="Times New Roman"/>
          <w:sz w:val="24"/>
          <w:szCs w:val="28"/>
        </w:rPr>
        <w:t>+</w:t>
      </w:r>
      <w:r>
        <w:rPr>
          <w:rFonts w:hint="eastAsia" w:cs="Times New Roman"/>
          <w:color w:val="auto"/>
          <w:sz w:val="24"/>
          <w:szCs w:val="28"/>
          <w:lang w:val="en-US" w:eastAsia="zh-CN"/>
        </w:rPr>
        <w:t>0.14</w:t>
      </w:r>
      <w:r>
        <w:rPr>
          <w:rFonts w:ascii="Times New Roman" w:hAnsi="Times New Roman" w:eastAsia="宋体" w:cs="Times New Roman"/>
          <w:sz w:val="24"/>
          <w:szCs w:val="28"/>
        </w:rPr>
        <w:t>)=0.</w:t>
      </w:r>
      <w:r>
        <w:rPr>
          <w:rFonts w:hint="eastAsia" w:cs="Times New Roman"/>
          <w:sz w:val="24"/>
          <w:szCs w:val="28"/>
          <w:lang w:val="en-US" w:eastAsia="zh-CN"/>
        </w:rPr>
        <w:t>20</w:t>
      </w:r>
      <w:r>
        <w:rPr>
          <w:rFonts w:ascii="Times New Roman" w:hAnsi="Times New Roman" w:eastAsia="宋体" w:cs="Times New Roman"/>
          <w:sz w:val="24"/>
          <w:szCs w:val="28"/>
        </w:rPr>
        <w:t>%，相对</w:t>
      </w:r>
      <w:r>
        <w:rPr>
          <w:rFonts w:hint="eastAsia" w:ascii="Times New Roman" w:hAnsi="Times New Roman" w:eastAsia="宋体" w:cs="Times New Roman"/>
          <w:sz w:val="24"/>
          <w:szCs w:val="28"/>
        </w:rPr>
        <w:t>扩</w:t>
      </w:r>
      <w:r>
        <w:rPr>
          <w:rFonts w:ascii="Times New Roman" w:hAnsi="Times New Roman" w:eastAsia="宋体" w:cs="Times New Roman"/>
          <w:sz w:val="24"/>
          <w:szCs w:val="28"/>
        </w:rPr>
        <w:t>展不确定度</w:t>
      </w:r>
      <w:r>
        <w:rPr>
          <w:rFonts w:hint="eastAsia" w:ascii="Times New Roman" w:hAnsi="Times New Roman" w:eastAsia="宋体" w:cs="Times New Roman"/>
          <w:sz w:val="24"/>
          <w:szCs w:val="28"/>
        </w:rPr>
        <w:t>U</w:t>
      </w:r>
      <w:r>
        <w:rPr>
          <w:rFonts w:ascii="Times New Roman" w:hAnsi="Times New Roman" w:eastAsia="宋体" w:cs="Times New Roman"/>
          <w:sz w:val="24"/>
          <w:szCs w:val="28"/>
        </w:rPr>
        <w:t>=0.4</w:t>
      </w:r>
      <w:r>
        <w:rPr>
          <w:rFonts w:hint="eastAsia" w:cs="Times New Roman"/>
          <w:sz w:val="24"/>
          <w:szCs w:val="28"/>
          <w:lang w:val="en-US" w:eastAsia="zh-CN"/>
        </w:rPr>
        <w:t>0</w:t>
      </w:r>
      <w:r>
        <w:rPr>
          <w:rFonts w:ascii="Times New Roman" w:hAnsi="Times New Roman" w:eastAsia="宋体" w:cs="Times New Roman"/>
          <w:sz w:val="24"/>
          <w:szCs w:val="28"/>
        </w:rPr>
        <w:t>%（</w:t>
      </w:r>
      <w:r>
        <w:rPr>
          <w:rFonts w:ascii="Times New Roman" w:hAnsi="Times New Roman" w:eastAsia="宋体" w:cs="Times New Roman"/>
          <w:i/>
          <w:iCs/>
          <w:sz w:val="24"/>
          <w:szCs w:val="28"/>
        </w:rPr>
        <w:t>k</w:t>
      </w:r>
      <w:r>
        <w:rPr>
          <w:rFonts w:ascii="Times New Roman" w:hAnsi="Times New Roman" w:eastAsia="宋体" w:cs="Times New Roman"/>
          <w:sz w:val="24"/>
          <w:szCs w:val="28"/>
        </w:rPr>
        <w:t>=2）。</w:t>
      </w:r>
    </w:p>
    <w:sectPr>
      <w:type w:val="continuous"/>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等线 Light">
    <w:panose1 w:val="02010600030101010101"/>
    <w:charset w:val="86"/>
    <w:family w:val="auto"/>
    <w:pitch w:val="default"/>
    <w:sig w:usb0="A00002BF" w:usb1="38CF7CFA" w:usb2="00000016" w:usb3="00000000" w:csb0="0004000F" w:csb1="00000000"/>
  </w:font>
  <w:font w:name="等线">
    <w:panose1 w:val="02010600030101010101"/>
    <w:charset w:val="86"/>
    <w:family w:val="auto"/>
    <w:pitch w:val="default"/>
    <w:sig w:usb0="A00002BF" w:usb1="38CF7CFA" w:usb2="00000016" w:usb3="00000000" w:csb0="0004000F" w:csb1="00000000"/>
  </w:font>
  <w:font w:name="仿宋">
    <w:panose1 w:val="02010609060101010101"/>
    <w:charset w:val="86"/>
    <w:family w:val="modern"/>
    <w:pitch w:val="default"/>
    <w:sig w:usb0="800002BF" w:usb1="38CF7CFA" w:usb2="00000016" w:usb3="00000000" w:csb0="00040001" w:csb1="00000000"/>
  </w:font>
  <w:font w:name="方正小标宋简体">
    <w:panose1 w:val="02010601030101010101"/>
    <w:charset w:val="86"/>
    <w:family w:val="auto"/>
    <w:pitch w:val="default"/>
    <w:sig w:usb0="00000001" w:usb1="080E0000" w:usb2="00000000" w:usb3="00000000" w:csb0="00040000" w:csb1="00000000"/>
  </w:font>
  <w:font w:name="Google Sans Text">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Cambria Math">
    <w:panose1 w:val="02040503050406030204"/>
    <w:charset w:val="00"/>
    <w:family w:val="roman"/>
    <w:pitch w:val="default"/>
    <w:sig w:usb0="E00006FF" w:usb1="420024FF" w:usb2="02000000" w:usb3="00000000" w:csb0="2000019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40567989"/>
    </w:sdtPr>
    <w:sdtEndPr>
      <w:rPr>
        <w:rFonts w:cs="Times New Roman"/>
      </w:rPr>
    </w:sdtEndPr>
    <w:sdtContent>
      <w:p w14:paraId="42C6DA29">
        <w:pPr>
          <w:pStyle w:val="11"/>
          <w:jc w:val="center"/>
          <w:rPr>
            <w:rFonts w:cs="Times New Roman"/>
          </w:rPr>
        </w:pPr>
        <w:r>
          <w:rPr>
            <w:rFonts w:cs="Times New Roman"/>
          </w:rPr>
          <w:fldChar w:fldCharType="begin"/>
        </w:r>
        <w:r>
          <w:rPr>
            <w:rFonts w:cs="Times New Roman"/>
          </w:rPr>
          <w:instrText xml:space="preserve">PAGE   \* MERGEFORMAT</w:instrText>
        </w:r>
        <w:r>
          <w:rPr>
            <w:rFonts w:cs="Times New Roman"/>
          </w:rPr>
          <w:fldChar w:fldCharType="separate"/>
        </w:r>
        <w:r>
          <w:rPr>
            <w:rFonts w:cs="Times New Roman"/>
            <w:lang w:val="zh-CN"/>
          </w:rPr>
          <w:t>2</w:t>
        </w:r>
        <w:r>
          <w:rPr>
            <w:rFonts w:cs="Times New Roman"/>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685593807"/>
    </w:sdtPr>
    <w:sdtEndPr>
      <w:rPr>
        <w:rFonts w:cs="Times New Roman"/>
      </w:rPr>
    </w:sdtEndPr>
    <w:sdtContent>
      <w:p w14:paraId="232D2C9F">
        <w:pPr>
          <w:pStyle w:val="11"/>
          <w:jc w:val="center"/>
          <w:rPr>
            <w:rFonts w:cs="Times New Roman"/>
          </w:rPr>
        </w:pPr>
        <w:r>
          <w:rPr>
            <w:rFonts w:cs="Times New Roman"/>
          </w:rPr>
          <w:fldChar w:fldCharType="begin"/>
        </w:r>
        <w:r>
          <w:rPr>
            <w:rFonts w:cs="Times New Roman"/>
          </w:rPr>
          <w:instrText xml:space="preserve">PAGE   \* MERGEFORMAT</w:instrText>
        </w:r>
        <w:r>
          <w:rPr>
            <w:rFonts w:cs="Times New Roman"/>
          </w:rPr>
          <w:fldChar w:fldCharType="separate"/>
        </w:r>
        <w:r>
          <w:rPr>
            <w:rFonts w:cs="Times New Roman"/>
            <w:lang w:val="zh-CN"/>
          </w:rPr>
          <w:t>2</w:t>
        </w:r>
        <w:r>
          <w:rPr>
            <w:rFonts w:cs="Times New Roman"/>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44208B4">
    <w:pPr>
      <w:pStyle w:val="12"/>
      <w:spacing w:line="240" w:lineRule="auto"/>
      <w:rPr>
        <w:rFonts w:ascii="黑体" w:eastAsia="黑体"/>
        <w:sz w:val="21"/>
        <w:szCs w:val="21"/>
      </w:rPr>
    </w:pPr>
  </w:p>
  <w:p w14:paraId="6454B156">
    <w:pPr>
      <w:pStyle w:val="12"/>
      <w:spacing w:line="240" w:lineRule="auto"/>
      <w:rPr>
        <w:rFonts w:ascii="黑体" w:eastAsia="黑体"/>
        <w:sz w:val="13"/>
        <w:szCs w:val="13"/>
      </w:rPr>
    </w:pPr>
  </w:p>
  <w:p w14:paraId="2024292E">
    <w:pPr>
      <w:pStyle w:val="12"/>
      <w:spacing w:line="240" w:lineRule="auto"/>
      <w:rPr>
        <w:rFonts w:ascii="黑体" w:eastAsia="黑体"/>
        <w:sz w:val="21"/>
        <w:szCs w:val="21"/>
      </w:rPr>
    </w:pPr>
    <w:r>
      <w:rPr>
        <w:rFonts w:hint="eastAsia" w:ascii="黑体" w:eastAsia="黑体"/>
        <w:sz w:val="21"/>
        <w:szCs w:val="21"/>
      </w:rPr>
      <w:t>JJF ××××—××××</w:t>
    </w:r>
  </w:p>
  <w:p w14:paraId="264C83A2">
    <w:pPr>
      <w:pStyle w:val="12"/>
      <w:spacing w:line="240" w:lineRule="aut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5F5C413"/>
    <w:multiLevelType w:val="singleLevel"/>
    <w:tmpl w:val="F5F5C413"/>
    <w:lvl w:ilvl="0" w:tentative="0">
      <w:start w:val="1"/>
      <w:numFmt w:val="decimal"/>
      <w:suff w:val="space"/>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0"/>
  <w:bordersDoNotSurroundHeader w:val="0"/>
  <w:bordersDoNotSurroundFooter w:val="0"/>
  <w:documentProtection w:enforcement="0"/>
  <w:defaultTabStop w:val="420"/>
  <w:displayHorizontalDrawingGridEvery w:val="1"/>
  <w:displayVerticalDrawingGridEvery w:val="1"/>
  <w:noPunctuationKerning w:val="1"/>
  <w:characterSpacingControl w:val="doNotCompress"/>
  <w:footnotePr>
    <w:footnote w:id="0"/>
    <w:footnote w:id="1"/>
  </w:footnotePr>
  <w:endnotePr>
    <w:endnote w:id="0"/>
    <w:endnote w:id="1"/>
  </w:endnotePr>
  <w:compat>
    <w:doNotExpandShiftReturn/>
    <w:doNotWrapTextWithPunct/>
    <w:doNotUseEastAsianBreak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jFmZWIzNDg2MmIzZjExOTIzMmViNTBmYTMwYTk0ZWYifQ=="/>
  </w:docVars>
  <w:rsids>
    <w:rsidRoot w:val="0097235E"/>
    <w:rsid w:val="00002006"/>
    <w:rsid w:val="00002020"/>
    <w:rsid w:val="00004B0D"/>
    <w:rsid w:val="0000584D"/>
    <w:rsid w:val="00007A57"/>
    <w:rsid w:val="000119F7"/>
    <w:rsid w:val="00011F47"/>
    <w:rsid w:val="00012299"/>
    <w:rsid w:val="0001263F"/>
    <w:rsid w:val="00015F48"/>
    <w:rsid w:val="00016D4B"/>
    <w:rsid w:val="00020ABB"/>
    <w:rsid w:val="00020E84"/>
    <w:rsid w:val="00021221"/>
    <w:rsid w:val="0002174A"/>
    <w:rsid w:val="0002626F"/>
    <w:rsid w:val="00026287"/>
    <w:rsid w:val="00027046"/>
    <w:rsid w:val="00027A5C"/>
    <w:rsid w:val="00027CC2"/>
    <w:rsid w:val="00035E62"/>
    <w:rsid w:val="00036CEA"/>
    <w:rsid w:val="0003705C"/>
    <w:rsid w:val="00040BA6"/>
    <w:rsid w:val="00041944"/>
    <w:rsid w:val="00042136"/>
    <w:rsid w:val="0004367B"/>
    <w:rsid w:val="000443F7"/>
    <w:rsid w:val="00044A57"/>
    <w:rsid w:val="00045FC4"/>
    <w:rsid w:val="00046BDD"/>
    <w:rsid w:val="000473AD"/>
    <w:rsid w:val="000500F5"/>
    <w:rsid w:val="000503B3"/>
    <w:rsid w:val="00050812"/>
    <w:rsid w:val="000529C4"/>
    <w:rsid w:val="00053C44"/>
    <w:rsid w:val="00061670"/>
    <w:rsid w:val="0006314D"/>
    <w:rsid w:val="00066C4C"/>
    <w:rsid w:val="000705F5"/>
    <w:rsid w:val="0007445A"/>
    <w:rsid w:val="000744A5"/>
    <w:rsid w:val="00077CA9"/>
    <w:rsid w:val="000816A7"/>
    <w:rsid w:val="00081ADF"/>
    <w:rsid w:val="0008485D"/>
    <w:rsid w:val="00084F6B"/>
    <w:rsid w:val="00087F16"/>
    <w:rsid w:val="0009022E"/>
    <w:rsid w:val="0009090B"/>
    <w:rsid w:val="00091089"/>
    <w:rsid w:val="000917DF"/>
    <w:rsid w:val="00093315"/>
    <w:rsid w:val="0009788A"/>
    <w:rsid w:val="000A0DF7"/>
    <w:rsid w:val="000A1335"/>
    <w:rsid w:val="000A37E4"/>
    <w:rsid w:val="000A4420"/>
    <w:rsid w:val="000A7EA6"/>
    <w:rsid w:val="000B1B81"/>
    <w:rsid w:val="000B4D6F"/>
    <w:rsid w:val="000C0615"/>
    <w:rsid w:val="000C3132"/>
    <w:rsid w:val="000C4A2B"/>
    <w:rsid w:val="000C4C67"/>
    <w:rsid w:val="000C56A2"/>
    <w:rsid w:val="000D2F7A"/>
    <w:rsid w:val="000D37EF"/>
    <w:rsid w:val="000D7D97"/>
    <w:rsid w:val="000E1720"/>
    <w:rsid w:val="000E4032"/>
    <w:rsid w:val="000E58BB"/>
    <w:rsid w:val="000E7F18"/>
    <w:rsid w:val="000F25E3"/>
    <w:rsid w:val="001007C7"/>
    <w:rsid w:val="0010170A"/>
    <w:rsid w:val="0010174E"/>
    <w:rsid w:val="00101964"/>
    <w:rsid w:val="00102DA8"/>
    <w:rsid w:val="00104E4B"/>
    <w:rsid w:val="00105CB9"/>
    <w:rsid w:val="00113017"/>
    <w:rsid w:val="00113BA2"/>
    <w:rsid w:val="0011429F"/>
    <w:rsid w:val="0012093F"/>
    <w:rsid w:val="001215F5"/>
    <w:rsid w:val="00121AFA"/>
    <w:rsid w:val="001274F7"/>
    <w:rsid w:val="00127937"/>
    <w:rsid w:val="001312B7"/>
    <w:rsid w:val="0013155C"/>
    <w:rsid w:val="00131B05"/>
    <w:rsid w:val="00135FFD"/>
    <w:rsid w:val="001374BF"/>
    <w:rsid w:val="0014111C"/>
    <w:rsid w:val="00143137"/>
    <w:rsid w:val="001439EC"/>
    <w:rsid w:val="00146547"/>
    <w:rsid w:val="0015112E"/>
    <w:rsid w:val="001532BB"/>
    <w:rsid w:val="001537A1"/>
    <w:rsid w:val="00153DD3"/>
    <w:rsid w:val="001557AC"/>
    <w:rsid w:val="00157351"/>
    <w:rsid w:val="00160EFE"/>
    <w:rsid w:val="001621D4"/>
    <w:rsid w:val="00163037"/>
    <w:rsid w:val="00163A42"/>
    <w:rsid w:val="00164F5D"/>
    <w:rsid w:val="001705C2"/>
    <w:rsid w:val="00183D4F"/>
    <w:rsid w:val="001844D9"/>
    <w:rsid w:val="0018480D"/>
    <w:rsid w:val="0018604C"/>
    <w:rsid w:val="00187809"/>
    <w:rsid w:val="00192074"/>
    <w:rsid w:val="001922E4"/>
    <w:rsid w:val="0019355F"/>
    <w:rsid w:val="001977A3"/>
    <w:rsid w:val="001A084A"/>
    <w:rsid w:val="001A0D6E"/>
    <w:rsid w:val="001A227C"/>
    <w:rsid w:val="001A75E1"/>
    <w:rsid w:val="001B0638"/>
    <w:rsid w:val="001B3CA1"/>
    <w:rsid w:val="001C1B07"/>
    <w:rsid w:val="001C28D8"/>
    <w:rsid w:val="001C469D"/>
    <w:rsid w:val="001C76E2"/>
    <w:rsid w:val="001D158F"/>
    <w:rsid w:val="001D1FC4"/>
    <w:rsid w:val="001D3689"/>
    <w:rsid w:val="001D4021"/>
    <w:rsid w:val="001D567B"/>
    <w:rsid w:val="001D638F"/>
    <w:rsid w:val="001E0701"/>
    <w:rsid w:val="001E1A76"/>
    <w:rsid w:val="001E3EDC"/>
    <w:rsid w:val="001E400F"/>
    <w:rsid w:val="001F68AF"/>
    <w:rsid w:val="002033E4"/>
    <w:rsid w:val="00207FCB"/>
    <w:rsid w:val="00210F2A"/>
    <w:rsid w:val="002124AC"/>
    <w:rsid w:val="002128E9"/>
    <w:rsid w:val="00213CEF"/>
    <w:rsid w:val="00217B35"/>
    <w:rsid w:val="00223509"/>
    <w:rsid w:val="002267E0"/>
    <w:rsid w:val="002318CD"/>
    <w:rsid w:val="00232199"/>
    <w:rsid w:val="00233CFE"/>
    <w:rsid w:val="00234B40"/>
    <w:rsid w:val="00235953"/>
    <w:rsid w:val="00236601"/>
    <w:rsid w:val="00236BB2"/>
    <w:rsid w:val="00236E72"/>
    <w:rsid w:val="00242B0F"/>
    <w:rsid w:val="00244FB5"/>
    <w:rsid w:val="00261346"/>
    <w:rsid w:val="002649E5"/>
    <w:rsid w:val="0026594B"/>
    <w:rsid w:val="002678E9"/>
    <w:rsid w:val="0027788F"/>
    <w:rsid w:val="00282E85"/>
    <w:rsid w:val="002830C1"/>
    <w:rsid w:val="00287C11"/>
    <w:rsid w:val="002908DC"/>
    <w:rsid w:val="0029444F"/>
    <w:rsid w:val="002965D8"/>
    <w:rsid w:val="00297772"/>
    <w:rsid w:val="002A01EB"/>
    <w:rsid w:val="002A28CE"/>
    <w:rsid w:val="002A5B91"/>
    <w:rsid w:val="002A6093"/>
    <w:rsid w:val="002B1178"/>
    <w:rsid w:val="002B415D"/>
    <w:rsid w:val="002B7827"/>
    <w:rsid w:val="002C1B75"/>
    <w:rsid w:val="002C21C8"/>
    <w:rsid w:val="002C39CA"/>
    <w:rsid w:val="002C5D39"/>
    <w:rsid w:val="002C773F"/>
    <w:rsid w:val="002D2902"/>
    <w:rsid w:val="002D4340"/>
    <w:rsid w:val="002E7504"/>
    <w:rsid w:val="002F017E"/>
    <w:rsid w:val="002F066E"/>
    <w:rsid w:val="002F1A40"/>
    <w:rsid w:val="002F3004"/>
    <w:rsid w:val="002F35B2"/>
    <w:rsid w:val="002F5D0F"/>
    <w:rsid w:val="002F606C"/>
    <w:rsid w:val="00301FDB"/>
    <w:rsid w:val="00303B83"/>
    <w:rsid w:val="003041DA"/>
    <w:rsid w:val="00305E4D"/>
    <w:rsid w:val="003076A5"/>
    <w:rsid w:val="00307747"/>
    <w:rsid w:val="00312AD4"/>
    <w:rsid w:val="003155E1"/>
    <w:rsid w:val="00316AED"/>
    <w:rsid w:val="003227F5"/>
    <w:rsid w:val="003246AC"/>
    <w:rsid w:val="00324A9E"/>
    <w:rsid w:val="003271F8"/>
    <w:rsid w:val="00331B56"/>
    <w:rsid w:val="00331DD5"/>
    <w:rsid w:val="003326E9"/>
    <w:rsid w:val="00333952"/>
    <w:rsid w:val="00333AD5"/>
    <w:rsid w:val="0033597C"/>
    <w:rsid w:val="0034113F"/>
    <w:rsid w:val="0034251D"/>
    <w:rsid w:val="003426DE"/>
    <w:rsid w:val="00345221"/>
    <w:rsid w:val="00346B2C"/>
    <w:rsid w:val="00346CF2"/>
    <w:rsid w:val="0034786C"/>
    <w:rsid w:val="00347EA3"/>
    <w:rsid w:val="00352EE3"/>
    <w:rsid w:val="00356B36"/>
    <w:rsid w:val="003575C9"/>
    <w:rsid w:val="00361174"/>
    <w:rsid w:val="00361834"/>
    <w:rsid w:val="003633C6"/>
    <w:rsid w:val="00363693"/>
    <w:rsid w:val="00363735"/>
    <w:rsid w:val="00364B7D"/>
    <w:rsid w:val="0036734F"/>
    <w:rsid w:val="00370483"/>
    <w:rsid w:val="00370961"/>
    <w:rsid w:val="0038124C"/>
    <w:rsid w:val="003814A4"/>
    <w:rsid w:val="00383538"/>
    <w:rsid w:val="00383696"/>
    <w:rsid w:val="00385CF8"/>
    <w:rsid w:val="00391BFD"/>
    <w:rsid w:val="0039685D"/>
    <w:rsid w:val="00397ECF"/>
    <w:rsid w:val="003A05EE"/>
    <w:rsid w:val="003B0237"/>
    <w:rsid w:val="003B107B"/>
    <w:rsid w:val="003B217D"/>
    <w:rsid w:val="003B4ADE"/>
    <w:rsid w:val="003B5162"/>
    <w:rsid w:val="003B5407"/>
    <w:rsid w:val="003B6C40"/>
    <w:rsid w:val="003C18A2"/>
    <w:rsid w:val="003C1DA0"/>
    <w:rsid w:val="003C1E13"/>
    <w:rsid w:val="003C3F96"/>
    <w:rsid w:val="003C50AC"/>
    <w:rsid w:val="003C55CA"/>
    <w:rsid w:val="003D127C"/>
    <w:rsid w:val="003D24CB"/>
    <w:rsid w:val="003D5680"/>
    <w:rsid w:val="003D7816"/>
    <w:rsid w:val="003E4A25"/>
    <w:rsid w:val="003E4D44"/>
    <w:rsid w:val="003E5F4E"/>
    <w:rsid w:val="003E67AB"/>
    <w:rsid w:val="003E7587"/>
    <w:rsid w:val="003F1532"/>
    <w:rsid w:val="003F169B"/>
    <w:rsid w:val="003F5979"/>
    <w:rsid w:val="003F78D5"/>
    <w:rsid w:val="00400415"/>
    <w:rsid w:val="004035EF"/>
    <w:rsid w:val="00404267"/>
    <w:rsid w:val="004150D1"/>
    <w:rsid w:val="00415DE9"/>
    <w:rsid w:val="0041700E"/>
    <w:rsid w:val="00417822"/>
    <w:rsid w:val="00423549"/>
    <w:rsid w:val="00423574"/>
    <w:rsid w:val="00424277"/>
    <w:rsid w:val="00424407"/>
    <w:rsid w:val="00425BA1"/>
    <w:rsid w:val="0042607C"/>
    <w:rsid w:val="004264E5"/>
    <w:rsid w:val="00427A3F"/>
    <w:rsid w:val="00430E51"/>
    <w:rsid w:val="0043125E"/>
    <w:rsid w:val="004337DD"/>
    <w:rsid w:val="0043479A"/>
    <w:rsid w:val="00434BA0"/>
    <w:rsid w:val="00436755"/>
    <w:rsid w:val="00436C76"/>
    <w:rsid w:val="00437E4D"/>
    <w:rsid w:val="004400D3"/>
    <w:rsid w:val="004420ED"/>
    <w:rsid w:val="00442606"/>
    <w:rsid w:val="0044334A"/>
    <w:rsid w:val="00446E7C"/>
    <w:rsid w:val="00451B02"/>
    <w:rsid w:val="00452759"/>
    <w:rsid w:val="00453114"/>
    <w:rsid w:val="004562AF"/>
    <w:rsid w:val="00456C6F"/>
    <w:rsid w:val="00456CDD"/>
    <w:rsid w:val="004601B8"/>
    <w:rsid w:val="0046606D"/>
    <w:rsid w:val="00466372"/>
    <w:rsid w:val="0046754C"/>
    <w:rsid w:val="00470097"/>
    <w:rsid w:val="0047422C"/>
    <w:rsid w:val="004804CC"/>
    <w:rsid w:val="004826E1"/>
    <w:rsid w:val="00482B37"/>
    <w:rsid w:val="004843A5"/>
    <w:rsid w:val="00485015"/>
    <w:rsid w:val="0049190A"/>
    <w:rsid w:val="00492A0B"/>
    <w:rsid w:val="00493A00"/>
    <w:rsid w:val="0049571E"/>
    <w:rsid w:val="004973BE"/>
    <w:rsid w:val="004A408E"/>
    <w:rsid w:val="004A58C3"/>
    <w:rsid w:val="004B09BA"/>
    <w:rsid w:val="004B0B82"/>
    <w:rsid w:val="004B2270"/>
    <w:rsid w:val="004B2B21"/>
    <w:rsid w:val="004B3EFC"/>
    <w:rsid w:val="004B48DA"/>
    <w:rsid w:val="004C0247"/>
    <w:rsid w:val="004C328E"/>
    <w:rsid w:val="004C4562"/>
    <w:rsid w:val="004C5076"/>
    <w:rsid w:val="004D5086"/>
    <w:rsid w:val="004D521B"/>
    <w:rsid w:val="004D54E2"/>
    <w:rsid w:val="004D5A40"/>
    <w:rsid w:val="004D5AE2"/>
    <w:rsid w:val="004E02CE"/>
    <w:rsid w:val="004E16BC"/>
    <w:rsid w:val="004E55FB"/>
    <w:rsid w:val="004F001D"/>
    <w:rsid w:val="004F0C1D"/>
    <w:rsid w:val="004F1742"/>
    <w:rsid w:val="004F1A8E"/>
    <w:rsid w:val="004F222B"/>
    <w:rsid w:val="004F4A16"/>
    <w:rsid w:val="004F52A8"/>
    <w:rsid w:val="004F52B5"/>
    <w:rsid w:val="004F583D"/>
    <w:rsid w:val="004F76A2"/>
    <w:rsid w:val="004F79F9"/>
    <w:rsid w:val="0050005E"/>
    <w:rsid w:val="00500ED9"/>
    <w:rsid w:val="005015B2"/>
    <w:rsid w:val="0050643A"/>
    <w:rsid w:val="005108FB"/>
    <w:rsid w:val="005115DE"/>
    <w:rsid w:val="00511CFC"/>
    <w:rsid w:val="00513A45"/>
    <w:rsid w:val="0051445B"/>
    <w:rsid w:val="00514B77"/>
    <w:rsid w:val="00515E26"/>
    <w:rsid w:val="00517B25"/>
    <w:rsid w:val="00517FF7"/>
    <w:rsid w:val="00520C88"/>
    <w:rsid w:val="00527C88"/>
    <w:rsid w:val="0053258D"/>
    <w:rsid w:val="00532805"/>
    <w:rsid w:val="005330A0"/>
    <w:rsid w:val="00533A13"/>
    <w:rsid w:val="00533AFF"/>
    <w:rsid w:val="00533B4C"/>
    <w:rsid w:val="005360D9"/>
    <w:rsid w:val="00540D63"/>
    <w:rsid w:val="005442A1"/>
    <w:rsid w:val="00550B5C"/>
    <w:rsid w:val="00551588"/>
    <w:rsid w:val="005542E1"/>
    <w:rsid w:val="00557DB1"/>
    <w:rsid w:val="0056441A"/>
    <w:rsid w:val="00564996"/>
    <w:rsid w:val="0056499D"/>
    <w:rsid w:val="00564A34"/>
    <w:rsid w:val="00565DEB"/>
    <w:rsid w:val="00566612"/>
    <w:rsid w:val="0056678C"/>
    <w:rsid w:val="00566ED4"/>
    <w:rsid w:val="00571AD4"/>
    <w:rsid w:val="00573F06"/>
    <w:rsid w:val="00583E29"/>
    <w:rsid w:val="005850B9"/>
    <w:rsid w:val="005860C5"/>
    <w:rsid w:val="005872EA"/>
    <w:rsid w:val="005879C4"/>
    <w:rsid w:val="00590DB1"/>
    <w:rsid w:val="00592CE9"/>
    <w:rsid w:val="0059337A"/>
    <w:rsid w:val="00597B66"/>
    <w:rsid w:val="00597D04"/>
    <w:rsid w:val="005A626E"/>
    <w:rsid w:val="005B2509"/>
    <w:rsid w:val="005B5AEB"/>
    <w:rsid w:val="005B6DB9"/>
    <w:rsid w:val="005C06EE"/>
    <w:rsid w:val="005C0E1E"/>
    <w:rsid w:val="005C36C7"/>
    <w:rsid w:val="005C37E6"/>
    <w:rsid w:val="005C42FD"/>
    <w:rsid w:val="005C79BC"/>
    <w:rsid w:val="005D106F"/>
    <w:rsid w:val="005D202A"/>
    <w:rsid w:val="005D2C4D"/>
    <w:rsid w:val="005D6999"/>
    <w:rsid w:val="005D6DE6"/>
    <w:rsid w:val="005E07E3"/>
    <w:rsid w:val="005E0C0C"/>
    <w:rsid w:val="005E0CC2"/>
    <w:rsid w:val="005E1365"/>
    <w:rsid w:val="005F1FAD"/>
    <w:rsid w:val="005F3CFC"/>
    <w:rsid w:val="005F5676"/>
    <w:rsid w:val="005F5A77"/>
    <w:rsid w:val="005F733D"/>
    <w:rsid w:val="005F7BEA"/>
    <w:rsid w:val="00601276"/>
    <w:rsid w:val="00610BDC"/>
    <w:rsid w:val="00612FFC"/>
    <w:rsid w:val="0061687C"/>
    <w:rsid w:val="006212F7"/>
    <w:rsid w:val="00621D3F"/>
    <w:rsid w:val="00624DBD"/>
    <w:rsid w:val="00633833"/>
    <w:rsid w:val="006346B3"/>
    <w:rsid w:val="0064037D"/>
    <w:rsid w:val="00641DA0"/>
    <w:rsid w:val="0064271C"/>
    <w:rsid w:val="0064343E"/>
    <w:rsid w:val="00647617"/>
    <w:rsid w:val="0065557B"/>
    <w:rsid w:val="00657BEF"/>
    <w:rsid w:val="00660AB7"/>
    <w:rsid w:val="00663DC1"/>
    <w:rsid w:val="0066628D"/>
    <w:rsid w:val="006664B9"/>
    <w:rsid w:val="00666716"/>
    <w:rsid w:val="00677C82"/>
    <w:rsid w:val="0068114E"/>
    <w:rsid w:val="006834F2"/>
    <w:rsid w:val="0068500C"/>
    <w:rsid w:val="00693633"/>
    <w:rsid w:val="006937D0"/>
    <w:rsid w:val="00693889"/>
    <w:rsid w:val="00695458"/>
    <w:rsid w:val="00695A38"/>
    <w:rsid w:val="00696B32"/>
    <w:rsid w:val="006A04A7"/>
    <w:rsid w:val="006A27C1"/>
    <w:rsid w:val="006A2875"/>
    <w:rsid w:val="006A5A94"/>
    <w:rsid w:val="006A5C95"/>
    <w:rsid w:val="006B225A"/>
    <w:rsid w:val="006C013B"/>
    <w:rsid w:val="006D11FF"/>
    <w:rsid w:val="006D2115"/>
    <w:rsid w:val="006D58FE"/>
    <w:rsid w:val="006D5D2A"/>
    <w:rsid w:val="006D60F2"/>
    <w:rsid w:val="006E1F6F"/>
    <w:rsid w:val="006F0078"/>
    <w:rsid w:val="006F1726"/>
    <w:rsid w:val="006F3B30"/>
    <w:rsid w:val="006F6126"/>
    <w:rsid w:val="006F78E7"/>
    <w:rsid w:val="006F7E3C"/>
    <w:rsid w:val="00704A29"/>
    <w:rsid w:val="00711317"/>
    <w:rsid w:val="0071383E"/>
    <w:rsid w:val="00713C87"/>
    <w:rsid w:val="0071504A"/>
    <w:rsid w:val="007153BB"/>
    <w:rsid w:val="007163F2"/>
    <w:rsid w:val="00720F73"/>
    <w:rsid w:val="00721839"/>
    <w:rsid w:val="0072220F"/>
    <w:rsid w:val="00723B89"/>
    <w:rsid w:val="00732C2D"/>
    <w:rsid w:val="00733DC7"/>
    <w:rsid w:val="007350D9"/>
    <w:rsid w:val="007400DF"/>
    <w:rsid w:val="00743404"/>
    <w:rsid w:val="0074468A"/>
    <w:rsid w:val="007468EE"/>
    <w:rsid w:val="00746DC6"/>
    <w:rsid w:val="00747AD8"/>
    <w:rsid w:val="007517DB"/>
    <w:rsid w:val="00751F70"/>
    <w:rsid w:val="0075472C"/>
    <w:rsid w:val="007556EC"/>
    <w:rsid w:val="00757C42"/>
    <w:rsid w:val="00757F8E"/>
    <w:rsid w:val="007602F2"/>
    <w:rsid w:val="007607D2"/>
    <w:rsid w:val="00760910"/>
    <w:rsid w:val="007627E1"/>
    <w:rsid w:val="00766670"/>
    <w:rsid w:val="0076761E"/>
    <w:rsid w:val="007678E2"/>
    <w:rsid w:val="00767AF5"/>
    <w:rsid w:val="0077044E"/>
    <w:rsid w:val="00772432"/>
    <w:rsid w:val="0077436E"/>
    <w:rsid w:val="00774555"/>
    <w:rsid w:val="007752B1"/>
    <w:rsid w:val="007808C1"/>
    <w:rsid w:val="007825CD"/>
    <w:rsid w:val="00782B72"/>
    <w:rsid w:val="00783126"/>
    <w:rsid w:val="0078581C"/>
    <w:rsid w:val="00785D36"/>
    <w:rsid w:val="00795FDA"/>
    <w:rsid w:val="00796460"/>
    <w:rsid w:val="007976BA"/>
    <w:rsid w:val="007A682A"/>
    <w:rsid w:val="007A68F6"/>
    <w:rsid w:val="007B0A41"/>
    <w:rsid w:val="007B131E"/>
    <w:rsid w:val="007B292A"/>
    <w:rsid w:val="007B29B0"/>
    <w:rsid w:val="007B5DF7"/>
    <w:rsid w:val="007C16EA"/>
    <w:rsid w:val="007C2A45"/>
    <w:rsid w:val="007C3F5D"/>
    <w:rsid w:val="007C4B6F"/>
    <w:rsid w:val="007C7EDC"/>
    <w:rsid w:val="007D208D"/>
    <w:rsid w:val="007D372D"/>
    <w:rsid w:val="007D3857"/>
    <w:rsid w:val="007D7995"/>
    <w:rsid w:val="007E0342"/>
    <w:rsid w:val="007E3D58"/>
    <w:rsid w:val="007E60A6"/>
    <w:rsid w:val="007E6678"/>
    <w:rsid w:val="007F03A9"/>
    <w:rsid w:val="007F064B"/>
    <w:rsid w:val="007F254F"/>
    <w:rsid w:val="0080039F"/>
    <w:rsid w:val="008013AB"/>
    <w:rsid w:val="008017F9"/>
    <w:rsid w:val="0080435A"/>
    <w:rsid w:val="008046D9"/>
    <w:rsid w:val="00805C8A"/>
    <w:rsid w:val="00814200"/>
    <w:rsid w:val="00816082"/>
    <w:rsid w:val="00820814"/>
    <w:rsid w:val="0082180C"/>
    <w:rsid w:val="00823DF9"/>
    <w:rsid w:val="00825D41"/>
    <w:rsid w:val="008265EC"/>
    <w:rsid w:val="00832BF5"/>
    <w:rsid w:val="00832D6D"/>
    <w:rsid w:val="00834A02"/>
    <w:rsid w:val="00836FF3"/>
    <w:rsid w:val="008374FB"/>
    <w:rsid w:val="00841E70"/>
    <w:rsid w:val="0084461C"/>
    <w:rsid w:val="00844FB9"/>
    <w:rsid w:val="008503E1"/>
    <w:rsid w:val="008507A6"/>
    <w:rsid w:val="008513D1"/>
    <w:rsid w:val="0085463F"/>
    <w:rsid w:val="00855180"/>
    <w:rsid w:val="008555B5"/>
    <w:rsid w:val="00860090"/>
    <w:rsid w:val="00860558"/>
    <w:rsid w:val="008606FA"/>
    <w:rsid w:val="00862A04"/>
    <w:rsid w:val="008633EB"/>
    <w:rsid w:val="00867BF8"/>
    <w:rsid w:val="008708E5"/>
    <w:rsid w:val="0087167F"/>
    <w:rsid w:val="00874800"/>
    <w:rsid w:val="00874C00"/>
    <w:rsid w:val="008751EA"/>
    <w:rsid w:val="008805D8"/>
    <w:rsid w:val="00882219"/>
    <w:rsid w:val="00882293"/>
    <w:rsid w:val="00882360"/>
    <w:rsid w:val="0088573E"/>
    <w:rsid w:val="00885D8E"/>
    <w:rsid w:val="00886445"/>
    <w:rsid w:val="00886A14"/>
    <w:rsid w:val="00886CB8"/>
    <w:rsid w:val="00891BE3"/>
    <w:rsid w:val="008939C0"/>
    <w:rsid w:val="008950F0"/>
    <w:rsid w:val="00895773"/>
    <w:rsid w:val="008960BB"/>
    <w:rsid w:val="008A1A5E"/>
    <w:rsid w:val="008A2498"/>
    <w:rsid w:val="008A35AF"/>
    <w:rsid w:val="008A3655"/>
    <w:rsid w:val="008B1058"/>
    <w:rsid w:val="008B2014"/>
    <w:rsid w:val="008B346D"/>
    <w:rsid w:val="008B3E66"/>
    <w:rsid w:val="008B3EEA"/>
    <w:rsid w:val="008B49D7"/>
    <w:rsid w:val="008B5887"/>
    <w:rsid w:val="008B77F7"/>
    <w:rsid w:val="008C1085"/>
    <w:rsid w:val="008C5609"/>
    <w:rsid w:val="008C6F85"/>
    <w:rsid w:val="008D0924"/>
    <w:rsid w:val="008D1C00"/>
    <w:rsid w:val="008D1E44"/>
    <w:rsid w:val="008D26F1"/>
    <w:rsid w:val="008D632A"/>
    <w:rsid w:val="008E342D"/>
    <w:rsid w:val="008E46EC"/>
    <w:rsid w:val="008E4E10"/>
    <w:rsid w:val="008E5226"/>
    <w:rsid w:val="008E6AA7"/>
    <w:rsid w:val="008E6DB6"/>
    <w:rsid w:val="008E6F88"/>
    <w:rsid w:val="008E7DBA"/>
    <w:rsid w:val="008F202C"/>
    <w:rsid w:val="008F5941"/>
    <w:rsid w:val="008F6EB2"/>
    <w:rsid w:val="0091099C"/>
    <w:rsid w:val="00910AA9"/>
    <w:rsid w:val="00912732"/>
    <w:rsid w:val="009139BC"/>
    <w:rsid w:val="00915022"/>
    <w:rsid w:val="00915240"/>
    <w:rsid w:val="00915E4D"/>
    <w:rsid w:val="009214F5"/>
    <w:rsid w:val="009219B0"/>
    <w:rsid w:val="009220E4"/>
    <w:rsid w:val="00922133"/>
    <w:rsid w:val="00923320"/>
    <w:rsid w:val="009247C9"/>
    <w:rsid w:val="00925052"/>
    <w:rsid w:val="0092778D"/>
    <w:rsid w:val="0092794E"/>
    <w:rsid w:val="00936C55"/>
    <w:rsid w:val="009402DA"/>
    <w:rsid w:val="0094186A"/>
    <w:rsid w:val="00944471"/>
    <w:rsid w:val="00944B29"/>
    <w:rsid w:val="009469EA"/>
    <w:rsid w:val="00947828"/>
    <w:rsid w:val="00951014"/>
    <w:rsid w:val="009532D4"/>
    <w:rsid w:val="0095481F"/>
    <w:rsid w:val="00955DA8"/>
    <w:rsid w:val="00960280"/>
    <w:rsid w:val="00960DA2"/>
    <w:rsid w:val="00963320"/>
    <w:rsid w:val="009638C2"/>
    <w:rsid w:val="00964201"/>
    <w:rsid w:val="00970D66"/>
    <w:rsid w:val="0097235E"/>
    <w:rsid w:val="00976094"/>
    <w:rsid w:val="0097627D"/>
    <w:rsid w:val="00982E06"/>
    <w:rsid w:val="00985F38"/>
    <w:rsid w:val="00985F68"/>
    <w:rsid w:val="00986D64"/>
    <w:rsid w:val="00992DDC"/>
    <w:rsid w:val="00997463"/>
    <w:rsid w:val="009A1CD4"/>
    <w:rsid w:val="009A25EC"/>
    <w:rsid w:val="009A3765"/>
    <w:rsid w:val="009A4E1D"/>
    <w:rsid w:val="009B220A"/>
    <w:rsid w:val="009B2B1A"/>
    <w:rsid w:val="009B6A25"/>
    <w:rsid w:val="009C1967"/>
    <w:rsid w:val="009C1C7D"/>
    <w:rsid w:val="009C294B"/>
    <w:rsid w:val="009D4537"/>
    <w:rsid w:val="009D5B84"/>
    <w:rsid w:val="009E0D7A"/>
    <w:rsid w:val="009E0EB3"/>
    <w:rsid w:val="009E138E"/>
    <w:rsid w:val="009E2793"/>
    <w:rsid w:val="009E363C"/>
    <w:rsid w:val="009E4CF0"/>
    <w:rsid w:val="009E5F04"/>
    <w:rsid w:val="009F5D4F"/>
    <w:rsid w:val="009F611F"/>
    <w:rsid w:val="009F6870"/>
    <w:rsid w:val="009F74E6"/>
    <w:rsid w:val="009F7C65"/>
    <w:rsid w:val="00A008EC"/>
    <w:rsid w:val="00A02B2A"/>
    <w:rsid w:val="00A02F80"/>
    <w:rsid w:val="00A03E10"/>
    <w:rsid w:val="00A14088"/>
    <w:rsid w:val="00A167AD"/>
    <w:rsid w:val="00A1777A"/>
    <w:rsid w:val="00A240B2"/>
    <w:rsid w:val="00A24B06"/>
    <w:rsid w:val="00A24C8E"/>
    <w:rsid w:val="00A251BB"/>
    <w:rsid w:val="00A25BDB"/>
    <w:rsid w:val="00A26F1D"/>
    <w:rsid w:val="00A3050D"/>
    <w:rsid w:val="00A311EA"/>
    <w:rsid w:val="00A335F9"/>
    <w:rsid w:val="00A3380C"/>
    <w:rsid w:val="00A33A22"/>
    <w:rsid w:val="00A33D81"/>
    <w:rsid w:val="00A34027"/>
    <w:rsid w:val="00A34624"/>
    <w:rsid w:val="00A36F26"/>
    <w:rsid w:val="00A37230"/>
    <w:rsid w:val="00A42533"/>
    <w:rsid w:val="00A50233"/>
    <w:rsid w:val="00A50B3B"/>
    <w:rsid w:val="00A50BD7"/>
    <w:rsid w:val="00A5583F"/>
    <w:rsid w:val="00A6318F"/>
    <w:rsid w:val="00A647A1"/>
    <w:rsid w:val="00A64C6D"/>
    <w:rsid w:val="00A64FF3"/>
    <w:rsid w:val="00A65CAC"/>
    <w:rsid w:val="00A6610B"/>
    <w:rsid w:val="00A728A7"/>
    <w:rsid w:val="00A7405A"/>
    <w:rsid w:val="00A76A99"/>
    <w:rsid w:val="00A809BC"/>
    <w:rsid w:val="00A80DF6"/>
    <w:rsid w:val="00A81108"/>
    <w:rsid w:val="00A81CAD"/>
    <w:rsid w:val="00A83EA4"/>
    <w:rsid w:val="00A83EE7"/>
    <w:rsid w:val="00A87070"/>
    <w:rsid w:val="00A90A94"/>
    <w:rsid w:val="00A93CC9"/>
    <w:rsid w:val="00AA3D27"/>
    <w:rsid w:val="00AA4049"/>
    <w:rsid w:val="00AA4ABB"/>
    <w:rsid w:val="00AA75A8"/>
    <w:rsid w:val="00AB0674"/>
    <w:rsid w:val="00AB0A82"/>
    <w:rsid w:val="00AB1C48"/>
    <w:rsid w:val="00AB31B2"/>
    <w:rsid w:val="00AB3696"/>
    <w:rsid w:val="00AB7577"/>
    <w:rsid w:val="00AB7BBB"/>
    <w:rsid w:val="00AC2978"/>
    <w:rsid w:val="00AC3529"/>
    <w:rsid w:val="00AC3909"/>
    <w:rsid w:val="00AC501E"/>
    <w:rsid w:val="00AC6D2F"/>
    <w:rsid w:val="00AD206C"/>
    <w:rsid w:val="00AD2466"/>
    <w:rsid w:val="00AD2E68"/>
    <w:rsid w:val="00AD2EAC"/>
    <w:rsid w:val="00AD4CDF"/>
    <w:rsid w:val="00AD75FF"/>
    <w:rsid w:val="00AE0416"/>
    <w:rsid w:val="00AE1111"/>
    <w:rsid w:val="00AE1231"/>
    <w:rsid w:val="00AE339F"/>
    <w:rsid w:val="00AE3EEC"/>
    <w:rsid w:val="00AE49C1"/>
    <w:rsid w:val="00AE4C74"/>
    <w:rsid w:val="00AE76A0"/>
    <w:rsid w:val="00AF08F3"/>
    <w:rsid w:val="00AF0FBD"/>
    <w:rsid w:val="00AF25E3"/>
    <w:rsid w:val="00AF4344"/>
    <w:rsid w:val="00AF520B"/>
    <w:rsid w:val="00AF5600"/>
    <w:rsid w:val="00AF680A"/>
    <w:rsid w:val="00AF6A3B"/>
    <w:rsid w:val="00B006D4"/>
    <w:rsid w:val="00B0329A"/>
    <w:rsid w:val="00B03521"/>
    <w:rsid w:val="00B035F6"/>
    <w:rsid w:val="00B0495A"/>
    <w:rsid w:val="00B04B25"/>
    <w:rsid w:val="00B12FF3"/>
    <w:rsid w:val="00B13702"/>
    <w:rsid w:val="00B15883"/>
    <w:rsid w:val="00B16153"/>
    <w:rsid w:val="00B22C9E"/>
    <w:rsid w:val="00B26E3F"/>
    <w:rsid w:val="00B27F58"/>
    <w:rsid w:val="00B30770"/>
    <w:rsid w:val="00B32457"/>
    <w:rsid w:val="00B33952"/>
    <w:rsid w:val="00B339AC"/>
    <w:rsid w:val="00B34CFC"/>
    <w:rsid w:val="00B35E39"/>
    <w:rsid w:val="00B40013"/>
    <w:rsid w:val="00B4065B"/>
    <w:rsid w:val="00B41B69"/>
    <w:rsid w:val="00B421BA"/>
    <w:rsid w:val="00B46D04"/>
    <w:rsid w:val="00B474B8"/>
    <w:rsid w:val="00B47794"/>
    <w:rsid w:val="00B527C2"/>
    <w:rsid w:val="00B528B4"/>
    <w:rsid w:val="00B52D7A"/>
    <w:rsid w:val="00B54521"/>
    <w:rsid w:val="00B55AAE"/>
    <w:rsid w:val="00B56B2A"/>
    <w:rsid w:val="00B61938"/>
    <w:rsid w:val="00B6679D"/>
    <w:rsid w:val="00B701BC"/>
    <w:rsid w:val="00B722A3"/>
    <w:rsid w:val="00B731FB"/>
    <w:rsid w:val="00B73B8C"/>
    <w:rsid w:val="00B77F21"/>
    <w:rsid w:val="00B77FA2"/>
    <w:rsid w:val="00B81064"/>
    <w:rsid w:val="00B82554"/>
    <w:rsid w:val="00B85C01"/>
    <w:rsid w:val="00B93E12"/>
    <w:rsid w:val="00B94691"/>
    <w:rsid w:val="00B94F0C"/>
    <w:rsid w:val="00B95AF9"/>
    <w:rsid w:val="00B95B22"/>
    <w:rsid w:val="00BA0D4E"/>
    <w:rsid w:val="00BA1669"/>
    <w:rsid w:val="00BA1AFE"/>
    <w:rsid w:val="00BA5622"/>
    <w:rsid w:val="00BA69EB"/>
    <w:rsid w:val="00BB4071"/>
    <w:rsid w:val="00BB52E3"/>
    <w:rsid w:val="00BC1255"/>
    <w:rsid w:val="00BC23DC"/>
    <w:rsid w:val="00BC5607"/>
    <w:rsid w:val="00BD12AC"/>
    <w:rsid w:val="00BD1FB1"/>
    <w:rsid w:val="00BD211B"/>
    <w:rsid w:val="00BD3A10"/>
    <w:rsid w:val="00BD456E"/>
    <w:rsid w:val="00BD5F88"/>
    <w:rsid w:val="00BD764B"/>
    <w:rsid w:val="00BE03FE"/>
    <w:rsid w:val="00BE0FE6"/>
    <w:rsid w:val="00BE11D6"/>
    <w:rsid w:val="00BE42E7"/>
    <w:rsid w:val="00BF2DA5"/>
    <w:rsid w:val="00BF499A"/>
    <w:rsid w:val="00BF5704"/>
    <w:rsid w:val="00C02957"/>
    <w:rsid w:val="00C02D5F"/>
    <w:rsid w:val="00C02DC9"/>
    <w:rsid w:val="00C050D5"/>
    <w:rsid w:val="00C063F0"/>
    <w:rsid w:val="00C0775A"/>
    <w:rsid w:val="00C1257D"/>
    <w:rsid w:val="00C12790"/>
    <w:rsid w:val="00C12ABC"/>
    <w:rsid w:val="00C13AE7"/>
    <w:rsid w:val="00C14715"/>
    <w:rsid w:val="00C14859"/>
    <w:rsid w:val="00C154FA"/>
    <w:rsid w:val="00C1562C"/>
    <w:rsid w:val="00C251D9"/>
    <w:rsid w:val="00C27119"/>
    <w:rsid w:val="00C273D1"/>
    <w:rsid w:val="00C31194"/>
    <w:rsid w:val="00C322D4"/>
    <w:rsid w:val="00C324BB"/>
    <w:rsid w:val="00C33163"/>
    <w:rsid w:val="00C336AE"/>
    <w:rsid w:val="00C33BC8"/>
    <w:rsid w:val="00C33E2D"/>
    <w:rsid w:val="00C43D63"/>
    <w:rsid w:val="00C46626"/>
    <w:rsid w:val="00C603C5"/>
    <w:rsid w:val="00C60583"/>
    <w:rsid w:val="00C61111"/>
    <w:rsid w:val="00C631AB"/>
    <w:rsid w:val="00C63A0F"/>
    <w:rsid w:val="00C63A36"/>
    <w:rsid w:val="00C63BBB"/>
    <w:rsid w:val="00C67864"/>
    <w:rsid w:val="00C704BC"/>
    <w:rsid w:val="00C7073C"/>
    <w:rsid w:val="00C714A0"/>
    <w:rsid w:val="00C7251D"/>
    <w:rsid w:val="00C73FCF"/>
    <w:rsid w:val="00C7431C"/>
    <w:rsid w:val="00C74DB4"/>
    <w:rsid w:val="00C76569"/>
    <w:rsid w:val="00C76D4D"/>
    <w:rsid w:val="00C80707"/>
    <w:rsid w:val="00C811D4"/>
    <w:rsid w:val="00C82069"/>
    <w:rsid w:val="00C84863"/>
    <w:rsid w:val="00C8709C"/>
    <w:rsid w:val="00C877E9"/>
    <w:rsid w:val="00C87C03"/>
    <w:rsid w:val="00C939C5"/>
    <w:rsid w:val="00C9441F"/>
    <w:rsid w:val="00C94D54"/>
    <w:rsid w:val="00C95114"/>
    <w:rsid w:val="00CA0839"/>
    <w:rsid w:val="00CA1364"/>
    <w:rsid w:val="00CA48B4"/>
    <w:rsid w:val="00CA6627"/>
    <w:rsid w:val="00CB00A2"/>
    <w:rsid w:val="00CB0CEF"/>
    <w:rsid w:val="00CB4E79"/>
    <w:rsid w:val="00CB5C0D"/>
    <w:rsid w:val="00CB72BA"/>
    <w:rsid w:val="00CC0DEA"/>
    <w:rsid w:val="00CC1462"/>
    <w:rsid w:val="00CC7F04"/>
    <w:rsid w:val="00CD2F39"/>
    <w:rsid w:val="00CD3F39"/>
    <w:rsid w:val="00CD435F"/>
    <w:rsid w:val="00CE023B"/>
    <w:rsid w:val="00CE1A86"/>
    <w:rsid w:val="00CE2DDF"/>
    <w:rsid w:val="00CE39C8"/>
    <w:rsid w:val="00CE631C"/>
    <w:rsid w:val="00CE6447"/>
    <w:rsid w:val="00CE79AB"/>
    <w:rsid w:val="00CF01CA"/>
    <w:rsid w:val="00CF3099"/>
    <w:rsid w:val="00CF4364"/>
    <w:rsid w:val="00CF5A21"/>
    <w:rsid w:val="00D00FCD"/>
    <w:rsid w:val="00D032C3"/>
    <w:rsid w:val="00D054A6"/>
    <w:rsid w:val="00D11678"/>
    <w:rsid w:val="00D1174B"/>
    <w:rsid w:val="00D12424"/>
    <w:rsid w:val="00D12443"/>
    <w:rsid w:val="00D13143"/>
    <w:rsid w:val="00D15D79"/>
    <w:rsid w:val="00D20762"/>
    <w:rsid w:val="00D2210B"/>
    <w:rsid w:val="00D22225"/>
    <w:rsid w:val="00D222AE"/>
    <w:rsid w:val="00D225FD"/>
    <w:rsid w:val="00D25724"/>
    <w:rsid w:val="00D26E4F"/>
    <w:rsid w:val="00D308FF"/>
    <w:rsid w:val="00D335AF"/>
    <w:rsid w:val="00D349DD"/>
    <w:rsid w:val="00D41271"/>
    <w:rsid w:val="00D52586"/>
    <w:rsid w:val="00D53326"/>
    <w:rsid w:val="00D53712"/>
    <w:rsid w:val="00D54C0F"/>
    <w:rsid w:val="00D56783"/>
    <w:rsid w:val="00D60858"/>
    <w:rsid w:val="00D61279"/>
    <w:rsid w:val="00D613A3"/>
    <w:rsid w:val="00D61D1F"/>
    <w:rsid w:val="00D63044"/>
    <w:rsid w:val="00D63810"/>
    <w:rsid w:val="00D65E59"/>
    <w:rsid w:val="00D66027"/>
    <w:rsid w:val="00D7058B"/>
    <w:rsid w:val="00D7312B"/>
    <w:rsid w:val="00D73B84"/>
    <w:rsid w:val="00D82BBF"/>
    <w:rsid w:val="00D831C5"/>
    <w:rsid w:val="00D856C5"/>
    <w:rsid w:val="00D86E36"/>
    <w:rsid w:val="00D87629"/>
    <w:rsid w:val="00D8793F"/>
    <w:rsid w:val="00D92546"/>
    <w:rsid w:val="00D93B84"/>
    <w:rsid w:val="00D97B32"/>
    <w:rsid w:val="00DA1220"/>
    <w:rsid w:val="00DA16E8"/>
    <w:rsid w:val="00DA6659"/>
    <w:rsid w:val="00DA755E"/>
    <w:rsid w:val="00DA777E"/>
    <w:rsid w:val="00DB0296"/>
    <w:rsid w:val="00DB1470"/>
    <w:rsid w:val="00DB3123"/>
    <w:rsid w:val="00DB4A31"/>
    <w:rsid w:val="00DB4D11"/>
    <w:rsid w:val="00DB622A"/>
    <w:rsid w:val="00DB66E6"/>
    <w:rsid w:val="00DC3D6D"/>
    <w:rsid w:val="00DC573B"/>
    <w:rsid w:val="00DC619E"/>
    <w:rsid w:val="00DD0DA0"/>
    <w:rsid w:val="00DD0E2B"/>
    <w:rsid w:val="00DD1A66"/>
    <w:rsid w:val="00DD23B7"/>
    <w:rsid w:val="00DD319D"/>
    <w:rsid w:val="00DD7E85"/>
    <w:rsid w:val="00DE1CE3"/>
    <w:rsid w:val="00DE1E30"/>
    <w:rsid w:val="00DE1EE9"/>
    <w:rsid w:val="00DE2B12"/>
    <w:rsid w:val="00DE38C2"/>
    <w:rsid w:val="00DE5448"/>
    <w:rsid w:val="00DE662F"/>
    <w:rsid w:val="00DF2D1A"/>
    <w:rsid w:val="00E00EFB"/>
    <w:rsid w:val="00E01D92"/>
    <w:rsid w:val="00E01E78"/>
    <w:rsid w:val="00E02179"/>
    <w:rsid w:val="00E041C4"/>
    <w:rsid w:val="00E050D5"/>
    <w:rsid w:val="00E06C2C"/>
    <w:rsid w:val="00E0720D"/>
    <w:rsid w:val="00E10C7E"/>
    <w:rsid w:val="00E1181C"/>
    <w:rsid w:val="00E1250F"/>
    <w:rsid w:val="00E13C3E"/>
    <w:rsid w:val="00E1475E"/>
    <w:rsid w:val="00E15333"/>
    <w:rsid w:val="00E20070"/>
    <w:rsid w:val="00E20FF3"/>
    <w:rsid w:val="00E22373"/>
    <w:rsid w:val="00E241F2"/>
    <w:rsid w:val="00E246BE"/>
    <w:rsid w:val="00E25A38"/>
    <w:rsid w:val="00E30673"/>
    <w:rsid w:val="00E3151A"/>
    <w:rsid w:val="00E32A7F"/>
    <w:rsid w:val="00E354FF"/>
    <w:rsid w:val="00E448EA"/>
    <w:rsid w:val="00E45F31"/>
    <w:rsid w:val="00E46F6E"/>
    <w:rsid w:val="00E476FC"/>
    <w:rsid w:val="00E477BF"/>
    <w:rsid w:val="00E51B8B"/>
    <w:rsid w:val="00E51C86"/>
    <w:rsid w:val="00E5298D"/>
    <w:rsid w:val="00E5420E"/>
    <w:rsid w:val="00E57A92"/>
    <w:rsid w:val="00E57E79"/>
    <w:rsid w:val="00E63286"/>
    <w:rsid w:val="00E63A23"/>
    <w:rsid w:val="00E656E1"/>
    <w:rsid w:val="00E665DA"/>
    <w:rsid w:val="00E6665E"/>
    <w:rsid w:val="00E6729B"/>
    <w:rsid w:val="00E74226"/>
    <w:rsid w:val="00E747FD"/>
    <w:rsid w:val="00E75D0D"/>
    <w:rsid w:val="00E7748B"/>
    <w:rsid w:val="00E77523"/>
    <w:rsid w:val="00E77547"/>
    <w:rsid w:val="00E81625"/>
    <w:rsid w:val="00E872B0"/>
    <w:rsid w:val="00E9464C"/>
    <w:rsid w:val="00EA0C58"/>
    <w:rsid w:val="00EA0D07"/>
    <w:rsid w:val="00EA1B2B"/>
    <w:rsid w:val="00EA26C8"/>
    <w:rsid w:val="00EA3CD3"/>
    <w:rsid w:val="00EA42A8"/>
    <w:rsid w:val="00EA4D61"/>
    <w:rsid w:val="00EA6847"/>
    <w:rsid w:val="00EB1965"/>
    <w:rsid w:val="00EB251D"/>
    <w:rsid w:val="00EB5B5B"/>
    <w:rsid w:val="00EB5F64"/>
    <w:rsid w:val="00EB6847"/>
    <w:rsid w:val="00EB7BA8"/>
    <w:rsid w:val="00EC4D07"/>
    <w:rsid w:val="00EC5967"/>
    <w:rsid w:val="00ED302A"/>
    <w:rsid w:val="00ED5FAF"/>
    <w:rsid w:val="00ED6244"/>
    <w:rsid w:val="00ED6A8F"/>
    <w:rsid w:val="00ED7462"/>
    <w:rsid w:val="00EE3017"/>
    <w:rsid w:val="00EE5239"/>
    <w:rsid w:val="00EE6C45"/>
    <w:rsid w:val="00EE794A"/>
    <w:rsid w:val="00EF1761"/>
    <w:rsid w:val="00EF26DC"/>
    <w:rsid w:val="00EF4289"/>
    <w:rsid w:val="00EF6219"/>
    <w:rsid w:val="00EF75A2"/>
    <w:rsid w:val="00F02117"/>
    <w:rsid w:val="00F049D6"/>
    <w:rsid w:val="00F051C0"/>
    <w:rsid w:val="00F066A2"/>
    <w:rsid w:val="00F0678F"/>
    <w:rsid w:val="00F117A1"/>
    <w:rsid w:val="00F15E3F"/>
    <w:rsid w:val="00F16B8B"/>
    <w:rsid w:val="00F16BB6"/>
    <w:rsid w:val="00F174B4"/>
    <w:rsid w:val="00F21261"/>
    <w:rsid w:val="00F21FD8"/>
    <w:rsid w:val="00F228F7"/>
    <w:rsid w:val="00F2478D"/>
    <w:rsid w:val="00F258C1"/>
    <w:rsid w:val="00F2646D"/>
    <w:rsid w:val="00F272EE"/>
    <w:rsid w:val="00F31ADC"/>
    <w:rsid w:val="00F31B94"/>
    <w:rsid w:val="00F32678"/>
    <w:rsid w:val="00F33999"/>
    <w:rsid w:val="00F33BB8"/>
    <w:rsid w:val="00F36132"/>
    <w:rsid w:val="00F37B7C"/>
    <w:rsid w:val="00F40CC1"/>
    <w:rsid w:val="00F44A3D"/>
    <w:rsid w:val="00F45EB2"/>
    <w:rsid w:val="00F46F55"/>
    <w:rsid w:val="00F50230"/>
    <w:rsid w:val="00F54584"/>
    <w:rsid w:val="00F5539E"/>
    <w:rsid w:val="00F55E8B"/>
    <w:rsid w:val="00F56704"/>
    <w:rsid w:val="00F56776"/>
    <w:rsid w:val="00F6053F"/>
    <w:rsid w:val="00F61561"/>
    <w:rsid w:val="00F61D9D"/>
    <w:rsid w:val="00F6691B"/>
    <w:rsid w:val="00F70117"/>
    <w:rsid w:val="00F71312"/>
    <w:rsid w:val="00F720FE"/>
    <w:rsid w:val="00F728B8"/>
    <w:rsid w:val="00F73397"/>
    <w:rsid w:val="00F778D5"/>
    <w:rsid w:val="00F80312"/>
    <w:rsid w:val="00F8228E"/>
    <w:rsid w:val="00F83145"/>
    <w:rsid w:val="00F85A1E"/>
    <w:rsid w:val="00F87024"/>
    <w:rsid w:val="00F90039"/>
    <w:rsid w:val="00F91637"/>
    <w:rsid w:val="00F929C2"/>
    <w:rsid w:val="00F93A45"/>
    <w:rsid w:val="00F93FB6"/>
    <w:rsid w:val="00F95DC7"/>
    <w:rsid w:val="00F973FF"/>
    <w:rsid w:val="00FA4A40"/>
    <w:rsid w:val="00FA5BAF"/>
    <w:rsid w:val="00FB0367"/>
    <w:rsid w:val="00FB0D8D"/>
    <w:rsid w:val="00FB11F1"/>
    <w:rsid w:val="00FB4361"/>
    <w:rsid w:val="00FC0660"/>
    <w:rsid w:val="00FC2EF1"/>
    <w:rsid w:val="00FC37DA"/>
    <w:rsid w:val="00FC452F"/>
    <w:rsid w:val="00FC5BC4"/>
    <w:rsid w:val="00FD4385"/>
    <w:rsid w:val="00FD7C1E"/>
    <w:rsid w:val="00FE11FF"/>
    <w:rsid w:val="00FE3845"/>
    <w:rsid w:val="00FF0489"/>
    <w:rsid w:val="00FF4103"/>
    <w:rsid w:val="00FF4A7A"/>
    <w:rsid w:val="01213882"/>
    <w:rsid w:val="016320EC"/>
    <w:rsid w:val="01F55FF7"/>
    <w:rsid w:val="021C17D6"/>
    <w:rsid w:val="02581525"/>
    <w:rsid w:val="02682844"/>
    <w:rsid w:val="02F23728"/>
    <w:rsid w:val="02F45D4B"/>
    <w:rsid w:val="031132E8"/>
    <w:rsid w:val="03510287"/>
    <w:rsid w:val="03591C12"/>
    <w:rsid w:val="03712EB6"/>
    <w:rsid w:val="038F0F77"/>
    <w:rsid w:val="03C9092D"/>
    <w:rsid w:val="03D86B9A"/>
    <w:rsid w:val="03E1111E"/>
    <w:rsid w:val="03E272F9"/>
    <w:rsid w:val="041452AF"/>
    <w:rsid w:val="047C599F"/>
    <w:rsid w:val="04E3714D"/>
    <w:rsid w:val="0526590B"/>
    <w:rsid w:val="06FF6D82"/>
    <w:rsid w:val="07131EBF"/>
    <w:rsid w:val="07B45450"/>
    <w:rsid w:val="07B8206D"/>
    <w:rsid w:val="07CE3731"/>
    <w:rsid w:val="0808579C"/>
    <w:rsid w:val="082047FE"/>
    <w:rsid w:val="082156D3"/>
    <w:rsid w:val="083245BD"/>
    <w:rsid w:val="08C571E9"/>
    <w:rsid w:val="08DB0DB9"/>
    <w:rsid w:val="0922122E"/>
    <w:rsid w:val="092B1742"/>
    <w:rsid w:val="0935611C"/>
    <w:rsid w:val="099A3B7B"/>
    <w:rsid w:val="09CA0D6F"/>
    <w:rsid w:val="09FA151F"/>
    <w:rsid w:val="0A091E0E"/>
    <w:rsid w:val="0A371B94"/>
    <w:rsid w:val="0A8A7048"/>
    <w:rsid w:val="0AF75FEB"/>
    <w:rsid w:val="0B040BD8"/>
    <w:rsid w:val="0B1B102D"/>
    <w:rsid w:val="0B215587"/>
    <w:rsid w:val="0B3859F6"/>
    <w:rsid w:val="0B474298"/>
    <w:rsid w:val="0B5A00BC"/>
    <w:rsid w:val="0BA13F3D"/>
    <w:rsid w:val="0BBD5AB8"/>
    <w:rsid w:val="0BCB5952"/>
    <w:rsid w:val="0BF14511"/>
    <w:rsid w:val="0BFF5354"/>
    <w:rsid w:val="0C46788C"/>
    <w:rsid w:val="0CC65EDB"/>
    <w:rsid w:val="0CF40103"/>
    <w:rsid w:val="0D037C1E"/>
    <w:rsid w:val="0D1B387B"/>
    <w:rsid w:val="0D533015"/>
    <w:rsid w:val="0DA22801"/>
    <w:rsid w:val="0E4D368D"/>
    <w:rsid w:val="0E762FCF"/>
    <w:rsid w:val="0E7D2A40"/>
    <w:rsid w:val="0F244517"/>
    <w:rsid w:val="0F2B1B3D"/>
    <w:rsid w:val="0F4406BD"/>
    <w:rsid w:val="0F73098D"/>
    <w:rsid w:val="0F9D678C"/>
    <w:rsid w:val="0FD13310"/>
    <w:rsid w:val="103430ED"/>
    <w:rsid w:val="10384473"/>
    <w:rsid w:val="103F5A47"/>
    <w:rsid w:val="106A6FF4"/>
    <w:rsid w:val="10907E40"/>
    <w:rsid w:val="10F22B45"/>
    <w:rsid w:val="112D584F"/>
    <w:rsid w:val="1139307F"/>
    <w:rsid w:val="114B271D"/>
    <w:rsid w:val="11513D10"/>
    <w:rsid w:val="1170063A"/>
    <w:rsid w:val="11BB562D"/>
    <w:rsid w:val="129878AE"/>
    <w:rsid w:val="13201BEB"/>
    <w:rsid w:val="132731BD"/>
    <w:rsid w:val="13390EFF"/>
    <w:rsid w:val="138008DC"/>
    <w:rsid w:val="13873AD6"/>
    <w:rsid w:val="14395BCF"/>
    <w:rsid w:val="147025A5"/>
    <w:rsid w:val="149E40CA"/>
    <w:rsid w:val="14C760EC"/>
    <w:rsid w:val="14FD6C55"/>
    <w:rsid w:val="15022C54"/>
    <w:rsid w:val="15325C06"/>
    <w:rsid w:val="15602773"/>
    <w:rsid w:val="158741A4"/>
    <w:rsid w:val="158B7050"/>
    <w:rsid w:val="15A21E9C"/>
    <w:rsid w:val="15A54611"/>
    <w:rsid w:val="15E5065A"/>
    <w:rsid w:val="15FF24FA"/>
    <w:rsid w:val="15FF3D3A"/>
    <w:rsid w:val="16117544"/>
    <w:rsid w:val="1676195D"/>
    <w:rsid w:val="167857E8"/>
    <w:rsid w:val="16BC633F"/>
    <w:rsid w:val="16CA259A"/>
    <w:rsid w:val="170A6E3A"/>
    <w:rsid w:val="17100A02"/>
    <w:rsid w:val="17251F3E"/>
    <w:rsid w:val="17342109"/>
    <w:rsid w:val="17D01625"/>
    <w:rsid w:val="180970F2"/>
    <w:rsid w:val="18370023"/>
    <w:rsid w:val="18AD13CC"/>
    <w:rsid w:val="18C554EC"/>
    <w:rsid w:val="18D771F0"/>
    <w:rsid w:val="18ED6201"/>
    <w:rsid w:val="19572B31"/>
    <w:rsid w:val="19AE23F2"/>
    <w:rsid w:val="19BF1E30"/>
    <w:rsid w:val="1A3A04FA"/>
    <w:rsid w:val="1A5A3C35"/>
    <w:rsid w:val="1A5A7287"/>
    <w:rsid w:val="1A6E387C"/>
    <w:rsid w:val="1AC13CB4"/>
    <w:rsid w:val="1AC5112F"/>
    <w:rsid w:val="1AE27167"/>
    <w:rsid w:val="1B435109"/>
    <w:rsid w:val="1B593EEC"/>
    <w:rsid w:val="1B602520"/>
    <w:rsid w:val="1B703C88"/>
    <w:rsid w:val="1BD211EE"/>
    <w:rsid w:val="1C1B5646"/>
    <w:rsid w:val="1C4B65BD"/>
    <w:rsid w:val="1C5610A3"/>
    <w:rsid w:val="1CA55065"/>
    <w:rsid w:val="1CBB0ED4"/>
    <w:rsid w:val="1D144612"/>
    <w:rsid w:val="1D467D30"/>
    <w:rsid w:val="1D7C2114"/>
    <w:rsid w:val="1DB2437C"/>
    <w:rsid w:val="1DDD669C"/>
    <w:rsid w:val="1E236A34"/>
    <w:rsid w:val="1E502E93"/>
    <w:rsid w:val="1ED336BB"/>
    <w:rsid w:val="1F833C2E"/>
    <w:rsid w:val="20013090"/>
    <w:rsid w:val="201C308A"/>
    <w:rsid w:val="202905D3"/>
    <w:rsid w:val="20421655"/>
    <w:rsid w:val="212700E1"/>
    <w:rsid w:val="215018EE"/>
    <w:rsid w:val="21894314"/>
    <w:rsid w:val="219C2D85"/>
    <w:rsid w:val="21A37B5C"/>
    <w:rsid w:val="21B548B8"/>
    <w:rsid w:val="21C3049D"/>
    <w:rsid w:val="21F70CC6"/>
    <w:rsid w:val="220C11EC"/>
    <w:rsid w:val="22A22E15"/>
    <w:rsid w:val="22C2427D"/>
    <w:rsid w:val="22C500B9"/>
    <w:rsid w:val="232703F4"/>
    <w:rsid w:val="23294280"/>
    <w:rsid w:val="23810484"/>
    <w:rsid w:val="23A45C13"/>
    <w:rsid w:val="23A83C63"/>
    <w:rsid w:val="24311A99"/>
    <w:rsid w:val="2499418B"/>
    <w:rsid w:val="24F9780D"/>
    <w:rsid w:val="253824E0"/>
    <w:rsid w:val="25A74403"/>
    <w:rsid w:val="25C07C0F"/>
    <w:rsid w:val="25C96F0A"/>
    <w:rsid w:val="25F806CE"/>
    <w:rsid w:val="25FE4884"/>
    <w:rsid w:val="261833AE"/>
    <w:rsid w:val="26497630"/>
    <w:rsid w:val="26A821CC"/>
    <w:rsid w:val="26C54934"/>
    <w:rsid w:val="26D16E8B"/>
    <w:rsid w:val="26DF78A8"/>
    <w:rsid w:val="273001D0"/>
    <w:rsid w:val="277D0F63"/>
    <w:rsid w:val="278B1E78"/>
    <w:rsid w:val="27AC13A4"/>
    <w:rsid w:val="280576EE"/>
    <w:rsid w:val="28393C05"/>
    <w:rsid w:val="28BC64FA"/>
    <w:rsid w:val="29096346"/>
    <w:rsid w:val="2909750A"/>
    <w:rsid w:val="294E705B"/>
    <w:rsid w:val="29A7676B"/>
    <w:rsid w:val="29FE2426"/>
    <w:rsid w:val="29FF4830"/>
    <w:rsid w:val="2A6E7CAB"/>
    <w:rsid w:val="2AB62E86"/>
    <w:rsid w:val="2AD30362"/>
    <w:rsid w:val="2AE83D45"/>
    <w:rsid w:val="2B4E2E20"/>
    <w:rsid w:val="2C24686F"/>
    <w:rsid w:val="2C2E1811"/>
    <w:rsid w:val="2C75189C"/>
    <w:rsid w:val="2D3419C9"/>
    <w:rsid w:val="2D4A5F45"/>
    <w:rsid w:val="2EFD5080"/>
    <w:rsid w:val="2F146650"/>
    <w:rsid w:val="2F1D2E8C"/>
    <w:rsid w:val="2F6A7623"/>
    <w:rsid w:val="2FBF0E03"/>
    <w:rsid w:val="302D3FAD"/>
    <w:rsid w:val="30362251"/>
    <w:rsid w:val="306E7EBB"/>
    <w:rsid w:val="31847FAF"/>
    <w:rsid w:val="31C07165"/>
    <w:rsid w:val="31C356EC"/>
    <w:rsid w:val="31CD0D39"/>
    <w:rsid w:val="323D7663"/>
    <w:rsid w:val="32515231"/>
    <w:rsid w:val="32646230"/>
    <w:rsid w:val="32764F2C"/>
    <w:rsid w:val="32D07443"/>
    <w:rsid w:val="32EC28EA"/>
    <w:rsid w:val="331C77FB"/>
    <w:rsid w:val="332064AE"/>
    <w:rsid w:val="33497B0A"/>
    <w:rsid w:val="339A64EB"/>
    <w:rsid w:val="33EF32A5"/>
    <w:rsid w:val="344351B7"/>
    <w:rsid w:val="34524761"/>
    <w:rsid w:val="346B742F"/>
    <w:rsid w:val="347C60D4"/>
    <w:rsid w:val="34844C0A"/>
    <w:rsid w:val="34BB3A10"/>
    <w:rsid w:val="34D67F04"/>
    <w:rsid w:val="352372C3"/>
    <w:rsid w:val="35523A2F"/>
    <w:rsid w:val="359978AF"/>
    <w:rsid w:val="35D225AF"/>
    <w:rsid w:val="35D408E8"/>
    <w:rsid w:val="35E058EF"/>
    <w:rsid w:val="360A35C3"/>
    <w:rsid w:val="36C7044C"/>
    <w:rsid w:val="36CB130F"/>
    <w:rsid w:val="37024FE0"/>
    <w:rsid w:val="3755300B"/>
    <w:rsid w:val="37611359"/>
    <w:rsid w:val="37785C00"/>
    <w:rsid w:val="37826E96"/>
    <w:rsid w:val="378A5AA2"/>
    <w:rsid w:val="379F6CD3"/>
    <w:rsid w:val="37B33B65"/>
    <w:rsid w:val="37C36E66"/>
    <w:rsid w:val="37FA4C43"/>
    <w:rsid w:val="38A403FE"/>
    <w:rsid w:val="38BA4623"/>
    <w:rsid w:val="38D17360"/>
    <w:rsid w:val="38F40732"/>
    <w:rsid w:val="39111B24"/>
    <w:rsid w:val="3A137505"/>
    <w:rsid w:val="3A443B62"/>
    <w:rsid w:val="3A9651C3"/>
    <w:rsid w:val="3B5D01C0"/>
    <w:rsid w:val="3BB83761"/>
    <w:rsid w:val="3BBB7E54"/>
    <w:rsid w:val="3C3A6FCB"/>
    <w:rsid w:val="3C562B32"/>
    <w:rsid w:val="3C5C5193"/>
    <w:rsid w:val="3C925059"/>
    <w:rsid w:val="3CBC080E"/>
    <w:rsid w:val="3CBF6D5A"/>
    <w:rsid w:val="3CEC063F"/>
    <w:rsid w:val="3CEE61C8"/>
    <w:rsid w:val="3D255ECD"/>
    <w:rsid w:val="3D704704"/>
    <w:rsid w:val="3D7B3C59"/>
    <w:rsid w:val="3D8E4AE3"/>
    <w:rsid w:val="3DBD2F5B"/>
    <w:rsid w:val="3E18333B"/>
    <w:rsid w:val="3E381AA2"/>
    <w:rsid w:val="3E3B138C"/>
    <w:rsid w:val="3E993244"/>
    <w:rsid w:val="3EBC0032"/>
    <w:rsid w:val="3EEB6A0A"/>
    <w:rsid w:val="3F037CD1"/>
    <w:rsid w:val="3FB048A6"/>
    <w:rsid w:val="408016EC"/>
    <w:rsid w:val="409965D9"/>
    <w:rsid w:val="40E87E13"/>
    <w:rsid w:val="40F76602"/>
    <w:rsid w:val="40FE14D3"/>
    <w:rsid w:val="41456B3D"/>
    <w:rsid w:val="41517290"/>
    <w:rsid w:val="42295402"/>
    <w:rsid w:val="42321BA9"/>
    <w:rsid w:val="424F6A20"/>
    <w:rsid w:val="42786A9F"/>
    <w:rsid w:val="42F73E67"/>
    <w:rsid w:val="43543068"/>
    <w:rsid w:val="435F4D2F"/>
    <w:rsid w:val="43B85E8D"/>
    <w:rsid w:val="43DB4A94"/>
    <w:rsid w:val="44981989"/>
    <w:rsid w:val="44C9546A"/>
    <w:rsid w:val="45375AF0"/>
    <w:rsid w:val="45BB5A4E"/>
    <w:rsid w:val="45FD77DD"/>
    <w:rsid w:val="467D4684"/>
    <w:rsid w:val="46853EE0"/>
    <w:rsid w:val="469B0F14"/>
    <w:rsid w:val="46BF2EEE"/>
    <w:rsid w:val="46D5735F"/>
    <w:rsid w:val="47376F28"/>
    <w:rsid w:val="473F0ADB"/>
    <w:rsid w:val="47FC4BAC"/>
    <w:rsid w:val="48147BA3"/>
    <w:rsid w:val="48183A6C"/>
    <w:rsid w:val="4823125B"/>
    <w:rsid w:val="4844121F"/>
    <w:rsid w:val="488B23FD"/>
    <w:rsid w:val="48AB1F1A"/>
    <w:rsid w:val="48BC48D3"/>
    <w:rsid w:val="48CC5BBC"/>
    <w:rsid w:val="48E704A6"/>
    <w:rsid w:val="4941408E"/>
    <w:rsid w:val="4953503B"/>
    <w:rsid w:val="499E6DEB"/>
    <w:rsid w:val="49E36EF3"/>
    <w:rsid w:val="4A190B67"/>
    <w:rsid w:val="4A9D3546"/>
    <w:rsid w:val="4AB83EDC"/>
    <w:rsid w:val="4B58121B"/>
    <w:rsid w:val="4BC2439F"/>
    <w:rsid w:val="4BD5030E"/>
    <w:rsid w:val="4BDB04D8"/>
    <w:rsid w:val="4C151B08"/>
    <w:rsid w:val="4C1D466A"/>
    <w:rsid w:val="4C1E6430"/>
    <w:rsid w:val="4C7D53DD"/>
    <w:rsid w:val="4C972C2F"/>
    <w:rsid w:val="4D027104"/>
    <w:rsid w:val="4D9D55CB"/>
    <w:rsid w:val="4DC66910"/>
    <w:rsid w:val="4DFD7BB3"/>
    <w:rsid w:val="4E1B6FE7"/>
    <w:rsid w:val="4E781B4B"/>
    <w:rsid w:val="4EBF723F"/>
    <w:rsid w:val="4F2E0C11"/>
    <w:rsid w:val="4F2F7C71"/>
    <w:rsid w:val="4F352BA5"/>
    <w:rsid w:val="4F625ABF"/>
    <w:rsid w:val="4F895E47"/>
    <w:rsid w:val="4F9020CD"/>
    <w:rsid w:val="4F9437FE"/>
    <w:rsid w:val="50165BCB"/>
    <w:rsid w:val="50717B85"/>
    <w:rsid w:val="50752BC0"/>
    <w:rsid w:val="50845547"/>
    <w:rsid w:val="50D21E5E"/>
    <w:rsid w:val="50E35A2B"/>
    <w:rsid w:val="510C0730"/>
    <w:rsid w:val="51D11D27"/>
    <w:rsid w:val="51E11F6A"/>
    <w:rsid w:val="521E7002"/>
    <w:rsid w:val="523429E2"/>
    <w:rsid w:val="523D116B"/>
    <w:rsid w:val="531A37C9"/>
    <w:rsid w:val="53307C35"/>
    <w:rsid w:val="534C0852"/>
    <w:rsid w:val="53D42DAC"/>
    <w:rsid w:val="541F7482"/>
    <w:rsid w:val="543E1396"/>
    <w:rsid w:val="5443799E"/>
    <w:rsid w:val="549C03CB"/>
    <w:rsid w:val="54ED0C26"/>
    <w:rsid w:val="55300798"/>
    <w:rsid w:val="554E07BE"/>
    <w:rsid w:val="55535C60"/>
    <w:rsid w:val="55937A20"/>
    <w:rsid w:val="55C41303"/>
    <w:rsid w:val="55CC026E"/>
    <w:rsid w:val="55E329D8"/>
    <w:rsid w:val="55F83D27"/>
    <w:rsid w:val="55F859AC"/>
    <w:rsid w:val="562157CD"/>
    <w:rsid w:val="565F3DA6"/>
    <w:rsid w:val="56A8574D"/>
    <w:rsid w:val="56AD2D63"/>
    <w:rsid w:val="5718721E"/>
    <w:rsid w:val="57586B58"/>
    <w:rsid w:val="582A11CC"/>
    <w:rsid w:val="584511FD"/>
    <w:rsid w:val="589D0715"/>
    <w:rsid w:val="59037040"/>
    <w:rsid w:val="59340ADB"/>
    <w:rsid w:val="59462FFB"/>
    <w:rsid w:val="595377FD"/>
    <w:rsid w:val="59627D3C"/>
    <w:rsid w:val="596F4300"/>
    <w:rsid w:val="5981135B"/>
    <w:rsid w:val="5991071A"/>
    <w:rsid w:val="599124C8"/>
    <w:rsid w:val="59A02428"/>
    <w:rsid w:val="59D537D8"/>
    <w:rsid w:val="59EF448E"/>
    <w:rsid w:val="5A69419E"/>
    <w:rsid w:val="5A76387F"/>
    <w:rsid w:val="5ABD1D13"/>
    <w:rsid w:val="5AC210F3"/>
    <w:rsid w:val="5AD85BEC"/>
    <w:rsid w:val="5B3475AF"/>
    <w:rsid w:val="5B5F27E4"/>
    <w:rsid w:val="5B6854AA"/>
    <w:rsid w:val="5B937BC9"/>
    <w:rsid w:val="5BD95199"/>
    <w:rsid w:val="5BF91C2D"/>
    <w:rsid w:val="5C23196E"/>
    <w:rsid w:val="5C2E163D"/>
    <w:rsid w:val="5C4847B5"/>
    <w:rsid w:val="5C8410A6"/>
    <w:rsid w:val="5C860F0E"/>
    <w:rsid w:val="5CD22CC8"/>
    <w:rsid w:val="5CE110EE"/>
    <w:rsid w:val="5DAD60AF"/>
    <w:rsid w:val="5DC65CED"/>
    <w:rsid w:val="5E0D2B1E"/>
    <w:rsid w:val="5E7F7C86"/>
    <w:rsid w:val="5E8C7702"/>
    <w:rsid w:val="5E9071F2"/>
    <w:rsid w:val="5EA26FBB"/>
    <w:rsid w:val="5EDE3F40"/>
    <w:rsid w:val="5F047298"/>
    <w:rsid w:val="5F1E2A4F"/>
    <w:rsid w:val="5F245B8C"/>
    <w:rsid w:val="5F44309B"/>
    <w:rsid w:val="5FAF55E4"/>
    <w:rsid w:val="5FD135BC"/>
    <w:rsid w:val="604858AA"/>
    <w:rsid w:val="60805E17"/>
    <w:rsid w:val="60AD5E82"/>
    <w:rsid w:val="60E530F9"/>
    <w:rsid w:val="615375CA"/>
    <w:rsid w:val="61AA7FB9"/>
    <w:rsid w:val="61E66D8D"/>
    <w:rsid w:val="627B7FF7"/>
    <w:rsid w:val="62854A7A"/>
    <w:rsid w:val="628A4669"/>
    <w:rsid w:val="62A56FE4"/>
    <w:rsid w:val="630B32EB"/>
    <w:rsid w:val="637644DD"/>
    <w:rsid w:val="637F15E3"/>
    <w:rsid w:val="63F77456"/>
    <w:rsid w:val="63FA505B"/>
    <w:rsid w:val="64243CD9"/>
    <w:rsid w:val="64375AF1"/>
    <w:rsid w:val="64D82D4E"/>
    <w:rsid w:val="64E50DA5"/>
    <w:rsid w:val="64F205B8"/>
    <w:rsid w:val="64F861E7"/>
    <w:rsid w:val="651E78CD"/>
    <w:rsid w:val="65A73073"/>
    <w:rsid w:val="65C14EA6"/>
    <w:rsid w:val="66300351"/>
    <w:rsid w:val="66754F1F"/>
    <w:rsid w:val="669255D9"/>
    <w:rsid w:val="669C1802"/>
    <w:rsid w:val="66A17AC3"/>
    <w:rsid w:val="670544F5"/>
    <w:rsid w:val="678C6CB5"/>
    <w:rsid w:val="67BF1EC8"/>
    <w:rsid w:val="67DA6E05"/>
    <w:rsid w:val="6844104D"/>
    <w:rsid w:val="689F1462"/>
    <w:rsid w:val="68B7181F"/>
    <w:rsid w:val="69032B47"/>
    <w:rsid w:val="6904782B"/>
    <w:rsid w:val="693B7D5A"/>
    <w:rsid w:val="695B4998"/>
    <w:rsid w:val="6988414B"/>
    <w:rsid w:val="6A205BD3"/>
    <w:rsid w:val="6A7D43A3"/>
    <w:rsid w:val="6AC81C6F"/>
    <w:rsid w:val="6AC94ACF"/>
    <w:rsid w:val="6AFF263C"/>
    <w:rsid w:val="6B44325E"/>
    <w:rsid w:val="6B581098"/>
    <w:rsid w:val="6B817D5D"/>
    <w:rsid w:val="6BA62653"/>
    <w:rsid w:val="6BC938BE"/>
    <w:rsid w:val="6BD46446"/>
    <w:rsid w:val="6BDB6E91"/>
    <w:rsid w:val="6BDD77EF"/>
    <w:rsid w:val="6C277174"/>
    <w:rsid w:val="6C6C22E7"/>
    <w:rsid w:val="6C794D89"/>
    <w:rsid w:val="6CCE7137"/>
    <w:rsid w:val="6CE16E6B"/>
    <w:rsid w:val="6D167504"/>
    <w:rsid w:val="6D210F0A"/>
    <w:rsid w:val="6D943EDD"/>
    <w:rsid w:val="6DAA3BEC"/>
    <w:rsid w:val="6DB86D0D"/>
    <w:rsid w:val="6E831A1C"/>
    <w:rsid w:val="6E8F5A98"/>
    <w:rsid w:val="6EA463A2"/>
    <w:rsid w:val="6ED362F7"/>
    <w:rsid w:val="6EFF182A"/>
    <w:rsid w:val="6F1124F0"/>
    <w:rsid w:val="6F1419BE"/>
    <w:rsid w:val="6FB55568"/>
    <w:rsid w:val="6FC377DD"/>
    <w:rsid w:val="6FC52A74"/>
    <w:rsid w:val="700417EE"/>
    <w:rsid w:val="701D51B0"/>
    <w:rsid w:val="703F6432"/>
    <w:rsid w:val="71096990"/>
    <w:rsid w:val="71AD2170"/>
    <w:rsid w:val="71F43E08"/>
    <w:rsid w:val="722B3510"/>
    <w:rsid w:val="72513C29"/>
    <w:rsid w:val="72660E0B"/>
    <w:rsid w:val="727C41B6"/>
    <w:rsid w:val="72863F73"/>
    <w:rsid w:val="7313195C"/>
    <w:rsid w:val="73604056"/>
    <w:rsid w:val="736B2E11"/>
    <w:rsid w:val="737256A0"/>
    <w:rsid w:val="73C07EA6"/>
    <w:rsid w:val="743A3FCF"/>
    <w:rsid w:val="743E1452"/>
    <w:rsid w:val="74420749"/>
    <w:rsid w:val="74CA6436"/>
    <w:rsid w:val="74DD33A7"/>
    <w:rsid w:val="750E7E03"/>
    <w:rsid w:val="75304D0F"/>
    <w:rsid w:val="75CD2682"/>
    <w:rsid w:val="75E141D5"/>
    <w:rsid w:val="75EC2630"/>
    <w:rsid w:val="76065B94"/>
    <w:rsid w:val="763E2880"/>
    <w:rsid w:val="76404C02"/>
    <w:rsid w:val="770248B1"/>
    <w:rsid w:val="77834E7F"/>
    <w:rsid w:val="78506184"/>
    <w:rsid w:val="788672E2"/>
    <w:rsid w:val="78D14237"/>
    <w:rsid w:val="78FB69A2"/>
    <w:rsid w:val="79240D60"/>
    <w:rsid w:val="792E7687"/>
    <w:rsid w:val="795409C4"/>
    <w:rsid w:val="79A8143C"/>
    <w:rsid w:val="7A0F3811"/>
    <w:rsid w:val="7A2B0A45"/>
    <w:rsid w:val="7A9A703A"/>
    <w:rsid w:val="7AC8601E"/>
    <w:rsid w:val="7AE31DA6"/>
    <w:rsid w:val="7B3A69D0"/>
    <w:rsid w:val="7B485526"/>
    <w:rsid w:val="7B683586"/>
    <w:rsid w:val="7BF73398"/>
    <w:rsid w:val="7BFF2E69"/>
    <w:rsid w:val="7C241ED8"/>
    <w:rsid w:val="7C4F6143"/>
    <w:rsid w:val="7C8E5462"/>
    <w:rsid w:val="7C9173E7"/>
    <w:rsid w:val="7CAE1664"/>
    <w:rsid w:val="7CF84488"/>
    <w:rsid w:val="7CFB18E7"/>
    <w:rsid w:val="7D033962"/>
    <w:rsid w:val="7D894B75"/>
    <w:rsid w:val="7E827305"/>
    <w:rsid w:val="7E8A55B4"/>
    <w:rsid w:val="7EAA41C6"/>
    <w:rsid w:val="7EC71748"/>
    <w:rsid w:val="7EF932F0"/>
    <w:rsid w:val="7F1440ED"/>
    <w:rsid w:val="7F345520"/>
    <w:rsid w:val="7F723BC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semiHidden="0" w:name="annotation text"/>
    <w:lsdException w:qFormat="1" w:uiPriority="0"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qFormat="1" w:unhideWhenUsed="0" w:uiPriority="0" w:semiHidden="0"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qFormat="1" w:unhideWhenUsed="0" w:uiPriority="0" w:semiHidden="0"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99" w:semiHidden="0" w:name="Table Grid"/>
    <w:lsdException w:uiPriority="99" w:name="Table Theme"/>
    <w:lsdException w:qFormat="1" w:unhideWhenUsed="0" w:uiPriority="99"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jc w:val="both"/>
    </w:pPr>
    <w:rPr>
      <w:rFonts w:ascii="Times New Roman" w:hAnsi="Times New Roman" w:eastAsia="宋体" w:cstheme="minorBidi"/>
      <w:kern w:val="2"/>
      <w:sz w:val="24"/>
      <w:szCs w:val="22"/>
      <w:lang w:val="en-US" w:eastAsia="zh-CN" w:bidi="ar-SA"/>
    </w:rPr>
  </w:style>
  <w:style w:type="paragraph" w:styleId="2">
    <w:name w:val="heading 1"/>
    <w:basedOn w:val="1"/>
    <w:next w:val="1"/>
    <w:link w:val="33"/>
    <w:autoRedefine/>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32"/>
    <w:unhideWhenUsed/>
    <w:qFormat/>
    <w:uiPriority w:val="9"/>
    <w:pPr>
      <w:keepNext/>
      <w:keepLines/>
      <w:outlineLvl w:val="1"/>
    </w:pPr>
    <w:rPr>
      <w:rFonts w:eastAsia="黑体" w:cstheme="majorBidi"/>
      <w:bCs/>
      <w:szCs w:val="32"/>
    </w:rPr>
  </w:style>
  <w:style w:type="paragraph" w:styleId="4">
    <w:name w:val="heading 3"/>
    <w:basedOn w:val="1"/>
    <w:next w:val="1"/>
    <w:link w:val="38"/>
    <w:unhideWhenUsed/>
    <w:qFormat/>
    <w:uiPriority w:val="9"/>
    <w:pPr>
      <w:keepNext/>
      <w:keepLines/>
      <w:outlineLvl w:val="2"/>
    </w:pPr>
    <w:rPr>
      <w:bCs/>
      <w:szCs w:val="32"/>
    </w:rPr>
  </w:style>
  <w:style w:type="character" w:default="1" w:styleId="21">
    <w:name w:val="Default Paragraph Font"/>
    <w:semiHidden/>
    <w:unhideWhenUsed/>
    <w:qFormat/>
    <w:uiPriority w:val="1"/>
  </w:style>
  <w:style w:type="table" w:default="1" w:styleId="19">
    <w:name w:val="Normal Table"/>
    <w:semiHidden/>
    <w:unhideWhenUsed/>
    <w:qFormat/>
    <w:uiPriority w:val="99"/>
    <w:tblPr>
      <w:tblCellMar>
        <w:top w:w="0" w:type="dxa"/>
        <w:left w:w="108" w:type="dxa"/>
        <w:bottom w:w="0" w:type="dxa"/>
        <w:right w:w="108" w:type="dxa"/>
      </w:tblCellMar>
    </w:tblPr>
  </w:style>
  <w:style w:type="paragraph" w:styleId="5">
    <w:name w:val="caption"/>
    <w:basedOn w:val="1"/>
    <w:next w:val="1"/>
    <w:semiHidden/>
    <w:unhideWhenUsed/>
    <w:qFormat/>
    <w:uiPriority w:val="35"/>
    <w:rPr>
      <w:rFonts w:ascii="Arial" w:hAnsi="Arial" w:eastAsia="黑体"/>
      <w:sz w:val="20"/>
    </w:rPr>
  </w:style>
  <w:style w:type="paragraph" w:styleId="6">
    <w:name w:val="annotation text"/>
    <w:basedOn w:val="1"/>
    <w:link w:val="29"/>
    <w:autoRedefine/>
    <w:unhideWhenUsed/>
    <w:qFormat/>
    <w:uiPriority w:val="99"/>
    <w:pPr>
      <w:jc w:val="left"/>
    </w:pPr>
  </w:style>
  <w:style w:type="paragraph" w:styleId="7">
    <w:name w:val="Body Text"/>
    <w:basedOn w:val="1"/>
    <w:link w:val="36"/>
    <w:autoRedefine/>
    <w:semiHidden/>
    <w:unhideWhenUsed/>
    <w:qFormat/>
    <w:uiPriority w:val="99"/>
    <w:pPr>
      <w:spacing w:after="120"/>
    </w:pPr>
  </w:style>
  <w:style w:type="paragraph" w:styleId="8">
    <w:name w:val="toc 3"/>
    <w:basedOn w:val="1"/>
    <w:next w:val="1"/>
    <w:autoRedefine/>
    <w:unhideWhenUsed/>
    <w:qFormat/>
    <w:uiPriority w:val="39"/>
    <w:pPr>
      <w:tabs>
        <w:tab w:val="right" w:leader="dot" w:pos="8296"/>
      </w:tabs>
      <w:ind w:left="840" w:leftChars="400"/>
    </w:pPr>
  </w:style>
  <w:style w:type="paragraph" w:styleId="9">
    <w:name w:val="Plain Text"/>
    <w:basedOn w:val="1"/>
    <w:link w:val="50"/>
    <w:qFormat/>
    <w:uiPriority w:val="0"/>
    <w:rPr>
      <w:rFonts w:ascii="宋体"/>
      <w:szCs w:val="20"/>
    </w:rPr>
  </w:style>
  <w:style w:type="paragraph" w:styleId="10">
    <w:name w:val="Date"/>
    <w:basedOn w:val="1"/>
    <w:next w:val="1"/>
    <w:link w:val="28"/>
    <w:autoRedefine/>
    <w:semiHidden/>
    <w:unhideWhenUsed/>
    <w:qFormat/>
    <w:uiPriority w:val="99"/>
    <w:pPr>
      <w:ind w:left="100" w:leftChars="2500"/>
    </w:pPr>
  </w:style>
  <w:style w:type="paragraph" w:styleId="11">
    <w:name w:val="footer"/>
    <w:basedOn w:val="1"/>
    <w:link w:val="26"/>
    <w:autoRedefine/>
    <w:unhideWhenUsed/>
    <w:qFormat/>
    <w:uiPriority w:val="99"/>
    <w:pPr>
      <w:tabs>
        <w:tab w:val="center" w:pos="4153"/>
        <w:tab w:val="right" w:pos="8306"/>
      </w:tabs>
      <w:snapToGrid w:val="0"/>
      <w:jc w:val="left"/>
    </w:pPr>
    <w:rPr>
      <w:sz w:val="18"/>
      <w:szCs w:val="18"/>
    </w:rPr>
  </w:style>
  <w:style w:type="paragraph" w:styleId="12">
    <w:name w:val="header"/>
    <w:basedOn w:val="1"/>
    <w:link w:val="25"/>
    <w:autoRedefine/>
    <w:unhideWhenUsed/>
    <w:qFormat/>
    <w:uiPriority w:val="0"/>
    <w:pPr>
      <w:pBdr>
        <w:bottom w:val="single" w:color="auto" w:sz="6" w:space="1"/>
      </w:pBdr>
      <w:tabs>
        <w:tab w:val="center" w:pos="4153"/>
        <w:tab w:val="right" w:pos="8306"/>
      </w:tabs>
      <w:snapToGrid w:val="0"/>
      <w:jc w:val="center"/>
    </w:pPr>
    <w:rPr>
      <w:sz w:val="18"/>
      <w:szCs w:val="18"/>
    </w:rPr>
  </w:style>
  <w:style w:type="paragraph" w:styleId="13">
    <w:name w:val="toc 1"/>
    <w:basedOn w:val="1"/>
    <w:next w:val="1"/>
    <w:autoRedefine/>
    <w:unhideWhenUsed/>
    <w:qFormat/>
    <w:uiPriority w:val="39"/>
  </w:style>
  <w:style w:type="paragraph" w:styleId="14">
    <w:name w:val="toc 2"/>
    <w:basedOn w:val="1"/>
    <w:next w:val="1"/>
    <w:autoRedefine/>
    <w:unhideWhenUsed/>
    <w:qFormat/>
    <w:uiPriority w:val="39"/>
    <w:pPr>
      <w:tabs>
        <w:tab w:val="right" w:leader="dot" w:pos="8296"/>
      </w:tabs>
      <w:ind w:left="420" w:leftChars="200"/>
    </w:pPr>
  </w:style>
  <w:style w:type="paragraph" w:styleId="15">
    <w:name w:val="HTML Preformatted"/>
    <w:basedOn w:val="1"/>
    <w:semiHidden/>
    <w:unhideWhenUsed/>
    <w:qFormat/>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hint="eastAsia" w:ascii="宋体" w:hAnsi="宋体" w:cs="Times New Roman"/>
      <w:kern w:val="0"/>
      <w:szCs w:val="24"/>
    </w:rPr>
  </w:style>
  <w:style w:type="paragraph" w:styleId="16">
    <w:name w:val="Normal (Web)"/>
    <w:basedOn w:val="1"/>
    <w:unhideWhenUsed/>
    <w:qFormat/>
    <w:uiPriority w:val="99"/>
    <w:pPr>
      <w:spacing w:beforeAutospacing="1" w:afterAutospacing="1"/>
      <w:jc w:val="left"/>
    </w:pPr>
    <w:rPr>
      <w:rFonts w:cs="Times New Roman"/>
      <w:kern w:val="0"/>
    </w:rPr>
  </w:style>
  <w:style w:type="paragraph" w:styleId="17">
    <w:name w:val="annotation subject"/>
    <w:basedOn w:val="6"/>
    <w:next w:val="6"/>
    <w:link w:val="30"/>
    <w:autoRedefine/>
    <w:semiHidden/>
    <w:unhideWhenUsed/>
    <w:qFormat/>
    <w:uiPriority w:val="99"/>
    <w:rPr>
      <w:b/>
      <w:bCs/>
    </w:rPr>
  </w:style>
  <w:style w:type="paragraph" w:styleId="18">
    <w:name w:val="Body Text First Indent"/>
    <w:basedOn w:val="7"/>
    <w:link w:val="37"/>
    <w:autoRedefine/>
    <w:qFormat/>
    <w:uiPriority w:val="0"/>
    <w:pPr>
      <w:spacing w:after="0"/>
      <w:ind w:firstLine="420" w:firstLineChars="100"/>
    </w:pPr>
    <w:rPr>
      <w:rFonts w:cs="Times New Roman"/>
      <w:szCs w:val="24"/>
    </w:rPr>
  </w:style>
  <w:style w:type="table" w:styleId="20">
    <w:name w:val="Table Grid"/>
    <w:basedOn w:val="19"/>
    <w:autoRedefine/>
    <w:qFormat/>
    <w:uiPriority w:val="9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2">
    <w:name w:val="Strong"/>
    <w:basedOn w:val="21"/>
    <w:autoRedefine/>
    <w:qFormat/>
    <w:uiPriority w:val="22"/>
    <w:rPr>
      <w:b/>
    </w:rPr>
  </w:style>
  <w:style w:type="character" w:styleId="23">
    <w:name w:val="Hyperlink"/>
    <w:basedOn w:val="21"/>
    <w:autoRedefine/>
    <w:unhideWhenUsed/>
    <w:qFormat/>
    <w:uiPriority w:val="99"/>
    <w:rPr>
      <w:color w:val="0563C1" w:themeColor="hyperlink"/>
      <w:u w:val="single"/>
      <w14:textFill>
        <w14:solidFill>
          <w14:schemeClr w14:val="hlink"/>
        </w14:solidFill>
      </w14:textFill>
    </w:rPr>
  </w:style>
  <w:style w:type="character" w:styleId="24">
    <w:name w:val="annotation reference"/>
    <w:basedOn w:val="21"/>
    <w:autoRedefine/>
    <w:semiHidden/>
    <w:unhideWhenUsed/>
    <w:qFormat/>
    <w:uiPriority w:val="99"/>
    <w:rPr>
      <w:sz w:val="21"/>
      <w:szCs w:val="21"/>
    </w:rPr>
  </w:style>
  <w:style w:type="character" w:customStyle="1" w:styleId="25">
    <w:name w:val="页眉 字符"/>
    <w:basedOn w:val="21"/>
    <w:link w:val="12"/>
    <w:autoRedefine/>
    <w:qFormat/>
    <w:uiPriority w:val="99"/>
    <w:rPr>
      <w:sz w:val="18"/>
      <w:szCs w:val="18"/>
    </w:rPr>
  </w:style>
  <w:style w:type="character" w:customStyle="1" w:styleId="26">
    <w:name w:val="页脚 字符"/>
    <w:basedOn w:val="21"/>
    <w:link w:val="11"/>
    <w:autoRedefine/>
    <w:qFormat/>
    <w:uiPriority w:val="99"/>
    <w:rPr>
      <w:sz w:val="18"/>
      <w:szCs w:val="18"/>
    </w:rPr>
  </w:style>
  <w:style w:type="paragraph" w:styleId="27">
    <w:name w:val="List Paragraph"/>
    <w:basedOn w:val="1"/>
    <w:autoRedefine/>
    <w:qFormat/>
    <w:uiPriority w:val="34"/>
    <w:pPr>
      <w:ind w:firstLine="420" w:firstLineChars="200"/>
    </w:pPr>
  </w:style>
  <w:style w:type="character" w:customStyle="1" w:styleId="28">
    <w:name w:val="日期 字符"/>
    <w:basedOn w:val="21"/>
    <w:link w:val="10"/>
    <w:autoRedefine/>
    <w:semiHidden/>
    <w:qFormat/>
    <w:uiPriority w:val="99"/>
  </w:style>
  <w:style w:type="character" w:customStyle="1" w:styleId="29">
    <w:name w:val="批注文字 字符"/>
    <w:basedOn w:val="21"/>
    <w:link w:val="6"/>
    <w:autoRedefine/>
    <w:qFormat/>
    <w:uiPriority w:val="99"/>
  </w:style>
  <w:style w:type="character" w:customStyle="1" w:styleId="30">
    <w:name w:val="批注主题 字符"/>
    <w:basedOn w:val="29"/>
    <w:link w:val="17"/>
    <w:autoRedefine/>
    <w:semiHidden/>
    <w:qFormat/>
    <w:uiPriority w:val="99"/>
    <w:rPr>
      <w:b/>
      <w:bCs/>
    </w:rPr>
  </w:style>
  <w:style w:type="character" w:styleId="31">
    <w:name w:val="Placeholder Text"/>
    <w:basedOn w:val="21"/>
    <w:autoRedefine/>
    <w:semiHidden/>
    <w:qFormat/>
    <w:uiPriority w:val="99"/>
    <w:rPr>
      <w:color w:val="808080"/>
    </w:rPr>
  </w:style>
  <w:style w:type="character" w:customStyle="1" w:styleId="32">
    <w:name w:val="标题 2 字符"/>
    <w:basedOn w:val="21"/>
    <w:link w:val="3"/>
    <w:autoRedefine/>
    <w:qFormat/>
    <w:uiPriority w:val="9"/>
    <w:rPr>
      <w:rFonts w:ascii="Times New Roman" w:hAnsi="Times New Roman" w:eastAsia="黑体" w:cstheme="majorBidi"/>
      <w:bCs/>
      <w:sz w:val="24"/>
      <w:szCs w:val="32"/>
    </w:rPr>
  </w:style>
  <w:style w:type="character" w:customStyle="1" w:styleId="33">
    <w:name w:val="标题 1 字符"/>
    <w:basedOn w:val="21"/>
    <w:link w:val="2"/>
    <w:autoRedefine/>
    <w:qFormat/>
    <w:uiPriority w:val="9"/>
    <w:rPr>
      <w:b/>
      <w:bCs/>
      <w:kern w:val="44"/>
      <w:sz w:val="44"/>
      <w:szCs w:val="44"/>
    </w:rPr>
  </w:style>
  <w:style w:type="paragraph" w:customStyle="1" w:styleId="34">
    <w:name w:val="TOC 标题1"/>
    <w:basedOn w:val="2"/>
    <w:next w:val="1"/>
    <w:unhideWhenUsed/>
    <w:qFormat/>
    <w:uiPriority w:val="39"/>
    <w:pPr>
      <w:widowControl/>
      <w:spacing w:before="240" w:after="0" w:line="259" w:lineRule="auto"/>
      <w:jc w:val="left"/>
      <w:outlineLvl w:val="9"/>
    </w:pPr>
    <w:rPr>
      <w:rFonts w:asciiTheme="majorHAnsi" w:hAnsiTheme="majorHAnsi" w:eastAsiaTheme="majorEastAsia" w:cstheme="majorBidi"/>
      <w:b w:val="0"/>
      <w:bCs w:val="0"/>
      <w:color w:val="2F5597" w:themeColor="accent1" w:themeShade="BF"/>
      <w:kern w:val="0"/>
      <w:sz w:val="32"/>
      <w:szCs w:val="32"/>
    </w:rPr>
  </w:style>
  <w:style w:type="paragraph" w:customStyle="1" w:styleId="35">
    <w:name w:val="修订1"/>
    <w:autoRedefine/>
    <w:hidden/>
    <w:semiHidden/>
    <w:qFormat/>
    <w:uiPriority w:val="99"/>
    <w:rPr>
      <w:rFonts w:asciiTheme="minorHAnsi" w:hAnsiTheme="minorHAnsi" w:eastAsiaTheme="minorEastAsia" w:cstheme="minorBidi"/>
      <w:kern w:val="2"/>
      <w:sz w:val="21"/>
      <w:szCs w:val="22"/>
      <w:lang w:val="en-US" w:eastAsia="zh-CN" w:bidi="ar-SA"/>
    </w:rPr>
  </w:style>
  <w:style w:type="character" w:customStyle="1" w:styleId="36">
    <w:name w:val="正文文本 字符"/>
    <w:basedOn w:val="21"/>
    <w:link w:val="7"/>
    <w:autoRedefine/>
    <w:semiHidden/>
    <w:qFormat/>
    <w:uiPriority w:val="99"/>
  </w:style>
  <w:style w:type="character" w:customStyle="1" w:styleId="37">
    <w:name w:val="正文文本首行缩进 字符"/>
    <w:basedOn w:val="36"/>
    <w:link w:val="18"/>
    <w:autoRedefine/>
    <w:qFormat/>
    <w:uiPriority w:val="0"/>
    <w:rPr>
      <w:rFonts w:ascii="Times New Roman" w:hAnsi="Times New Roman" w:eastAsia="宋体" w:cs="Times New Roman"/>
      <w:sz w:val="24"/>
      <w:szCs w:val="24"/>
    </w:rPr>
  </w:style>
  <w:style w:type="character" w:customStyle="1" w:styleId="38">
    <w:name w:val="标题 3 字符"/>
    <w:basedOn w:val="21"/>
    <w:link w:val="4"/>
    <w:autoRedefine/>
    <w:qFormat/>
    <w:uiPriority w:val="9"/>
    <w:rPr>
      <w:rFonts w:cstheme="minorBidi"/>
      <w:bCs/>
      <w:kern w:val="2"/>
      <w:sz w:val="24"/>
      <w:szCs w:val="32"/>
    </w:rPr>
  </w:style>
  <w:style w:type="paragraph" w:customStyle="1" w:styleId="39">
    <w:name w:val="MTDisplayEquation"/>
    <w:basedOn w:val="1"/>
    <w:next w:val="1"/>
    <w:link w:val="40"/>
    <w:autoRedefine/>
    <w:qFormat/>
    <w:uiPriority w:val="0"/>
    <w:pPr>
      <w:tabs>
        <w:tab w:val="center" w:pos="4160"/>
        <w:tab w:val="right" w:pos="8300"/>
      </w:tabs>
      <w:jc w:val="center"/>
    </w:pPr>
    <w:rPr>
      <w:rFonts w:cs="Times New Roman"/>
      <w:szCs w:val="21"/>
    </w:rPr>
  </w:style>
  <w:style w:type="character" w:customStyle="1" w:styleId="40">
    <w:name w:val="MTDisplayEquation 字符"/>
    <w:basedOn w:val="21"/>
    <w:link w:val="39"/>
    <w:autoRedefine/>
    <w:qFormat/>
    <w:uiPriority w:val="0"/>
    <w:rPr>
      <w:rFonts w:ascii="Times New Roman" w:hAnsi="Times New Roman" w:eastAsia="宋体" w:cs="Times New Roman"/>
      <w:szCs w:val="21"/>
    </w:rPr>
  </w:style>
  <w:style w:type="character" w:customStyle="1" w:styleId="41">
    <w:name w:val="MTEquationSection"/>
    <w:basedOn w:val="21"/>
    <w:autoRedefine/>
    <w:qFormat/>
    <w:uiPriority w:val="0"/>
    <w:rPr>
      <w:rFonts w:ascii="Times New Roman" w:hAnsi="Times New Roman" w:eastAsia="宋体" w:cs="Times New Roman"/>
      <w:vanish/>
      <w:color w:val="FF0000"/>
      <w:szCs w:val="24"/>
    </w:rPr>
  </w:style>
  <w:style w:type="paragraph" w:customStyle="1" w:styleId="42">
    <w:name w:val="修订2"/>
    <w:autoRedefine/>
    <w:hidden/>
    <w:unhideWhenUsed/>
    <w:qFormat/>
    <w:uiPriority w:val="99"/>
    <w:rPr>
      <w:rFonts w:asciiTheme="minorHAnsi" w:hAnsiTheme="minorHAnsi" w:eastAsiaTheme="minorEastAsia" w:cstheme="minorBidi"/>
      <w:kern w:val="2"/>
      <w:sz w:val="21"/>
      <w:szCs w:val="22"/>
      <w:lang w:val="en-US" w:eastAsia="zh-CN" w:bidi="ar-SA"/>
    </w:rPr>
  </w:style>
  <w:style w:type="paragraph" w:customStyle="1" w:styleId="43">
    <w:name w:val="修订3"/>
    <w:autoRedefine/>
    <w:hidden/>
    <w:unhideWhenUsed/>
    <w:qFormat/>
    <w:uiPriority w:val="99"/>
    <w:rPr>
      <w:rFonts w:asciiTheme="minorHAnsi" w:hAnsiTheme="minorHAnsi" w:eastAsiaTheme="minorEastAsia" w:cstheme="minorBidi"/>
      <w:kern w:val="2"/>
      <w:sz w:val="21"/>
      <w:szCs w:val="22"/>
      <w:lang w:val="en-US" w:eastAsia="zh-CN" w:bidi="ar-SA"/>
    </w:rPr>
  </w:style>
  <w:style w:type="paragraph" w:customStyle="1" w:styleId="44">
    <w:name w:val="修订4"/>
    <w:autoRedefine/>
    <w:hidden/>
    <w:unhideWhenUsed/>
    <w:qFormat/>
    <w:uiPriority w:val="99"/>
    <w:rPr>
      <w:rFonts w:asciiTheme="minorHAnsi" w:hAnsiTheme="minorHAnsi" w:eastAsiaTheme="minorEastAsia" w:cstheme="minorBidi"/>
      <w:kern w:val="2"/>
      <w:sz w:val="21"/>
      <w:szCs w:val="22"/>
      <w:lang w:val="en-US" w:eastAsia="zh-CN" w:bidi="ar-SA"/>
    </w:rPr>
  </w:style>
  <w:style w:type="paragraph" w:customStyle="1" w:styleId="45">
    <w:name w:val="前言"/>
    <w:basedOn w:val="1"/>
    <w:link w:val="46"/>
    <w:qFormat/>
    <w:uiPriority w:val="0"/>
    <w:pPr>
      <w:tabs>
        <w:tab w:val="left" w:pos="1620"/>
        <w:tab w:val="left" w:pos="1800"/>
      </w:tabs>
      <w:spacing w:line="240" w:lineRule="auto"/>
    </w:pPr>
    <w:rPr>
      <w:sz w:val="28"/>
    </w:rPr>
  </w:style>
  <w:style w:type="character" w:customStyle="1" w:styleId="46">
    <w:name w:val="前言 Char"/>
    <w:link w:val="45"/>
    <w:qFormat/>
    <w:uiPriority w:val="0"/>
    <w:rPr>
      <w:sz w:val="28"/>
    </w:rPr>
  </w:style>
  <w:style w:type="paragraph" w:customStyle="1" w:styleId="47">
    <w:name w:val="段"/>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paragraph" w:customStyle="1" w:styleId="48">
    <w:name w:val="修订5"/>
    <w:hidden/>
    <w:unhideWhenUsed/>
    <w:qFormat/>
    <w:uiPriority w:val="99"/>
    <w:rPr>
      <w:rFonts w:ascii="Times New Roman" w:hAnsi="Times New Roman" w:eastAsia="宋体" w:cstheme="minorBidi"/>
      <w:kern w:val="2"/>
      <w:sz w:val="24"/>
      <w:szCs w:val="22"/>
      <w:lang w:val="en-US" w:eastAsia="zh-CN" w:bidi="ar-SA"/>
    </w:rPr>
  </w:style>
  <w:style w:type="table" w:customStyle="1" w:styleId="49">
    <w:name w:val="网格型1"/>
    <w:basedOn w:val="19"/>
    <w:qFormat/>
    <w:uiPriority w:val="99"/>
    <w:pPr>
      <w:widowControl w:val="0"/>
      <w:jc w:val="both"/>
    </w:pPr>
    <w:rPr>
      <w:rFonts w:eastAsia="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50">
    <w:name w:val="纯文本 字符"/>
    <w:basedOn w:val="21"/>
    <w:link w:val="9"/>
    <w:qFormat/>
    <w:uiPriority w:val="0"/>
    <w:rPr>
      <w:rFonts w:ascii="宋体" w:cstheme="minorBidi"/>
      <w:kern w:val="2"/>
      <w:sz w:val="24"/>
    </w:rPr>
  </w:style>
  <w:style w:type="paragraph" w:customStyle="1" w:styleId="51">
    <w:name w:val="修订6"/>
    <w:hidden/>
    <w:unhideWhenUsed/>
    <w:qFormat/>
    <w:uiPriority w:val="99"/>
    <w:rPr>
      <w:rFonts w:ascii="Times New Roman" w:hAnsi="Times New Roman" w:eastAsia="宋体" w:cstheme="minorBidi"/>
      <w:kern w:val="2"/>
      <w:sz w:val="24"/>
      <w:szCs w:val="22"/>
      <w:lang w:val="en-US" w:eastAsia="zh-CN" w:bidi="ar-SA"/>
    </w:rPr>
  </w:style>
  <w:style w:type="character" w:customStyle="1" w:styleId="52">
    <w:name w:val="font11"/>
    <w:basedOn w:val="21"/>
    <w:qFormat/>
    <w:uiPriority w:val="0"/>
    <w:rPr>
      <w:rFonts w:hint="eastAsia" w:ascii="宋体" w:hAnsi="宋体" w:eastAsia="宋体" w:cs="宋体"/>
      <w:color w:val="000000"/>
      <w:sz w:val="18"/>
      <w:szCs w:val="18"/>
      <w:u w:val="none"/>
    </w:rPr>
  </w:style>
  <w:style w:type="character" w:customStyle="1" w:styleId="53">
    <w:name w:val="font21"/>
    <w:basedOn w:val="21"/>
    <w:qFormat/>
    <w:uiPriority w:val="0"/>
    <w:rPr>
      <w:rFonts w:hint="default" w:ascii="Arial" w:hAnsi="Arial" w:cs="Arial"/>
      <w:color w:val="000000"/>
      <w:sz w:val="18"/>
      <w:szCs w:val="18"/>
      <w:u w:val="none"/>
    </w:rPr>
  </w:style>
  <w:style w:type="paragraph" w:customStyle="1" w:styleId="54">
    <w:name w:val="修订7"/>
    <w:hidden/>
    <w:unhideWhenUsed/>
    <w:qFormat/>
    <w:uiPriority w:val="99"/>
    <w:rPr>
      <w:rFonts w:ascii="Times New Roman" w:hAnsi="Times New Roman" w:eastAsia="宋体" w:cstheme="minorBidi"/>
      <w:kern w:val="2"/>
      <w:sz w:val="24"/>
      <w:szCs w:val="22"/>
      <w:lang w:val="en-US" w:eastAsia="zh-CN" w:bidi="ar-SA"/>
    </w:rPr>
  </w:style>
  <w:style w:type="paragraph" w:customStyle="1" w:styleId="55">
    <w:name w:val="a条文中的注"/>
    <w:basedOn w:val="1"/>
    <w:autoRedefine/>
    <w:qFormat/>
    <w:uiPriority w:val="0"/>
    <w:pPr>
      <w:spacing w:line="360" w:lineRule="exact"/>
      <w:ind w:firstLine="480"/>
    </w:pPr>
    <w:rPr>
      <w:rFonts w:eastAsia="仿宋"/>
      <w:szCs w:val="21"/>
    </w:rPr>
  </w:style>
  <w:style w:type="paragraph" w:customStyle="1" w:styleId="56">
    <w:name w:val="a规范正文-小四号宋"/>
    <w:basedOn w:val="1"/>
    <w:autoRedefine/>
    <w:qFormat/>
    <w:uiPriority w:val="0"/>
    <w:pPr>
      <w:widowControl/>
      <w:spacing w:line="360" w:lineRule="exact"/>
      <w:ind w:firstLine="480" w:firstLineChars="200"/>
    </w:pPr>
    <w:rPr>
      <w:sz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2.xml"/><Relationship Id="rId62" Type="http://schemas.openxmlformats.org/officeDocument/2006/relationships/fontTable" Target="fontTable.xml"/><Relationship Id="rId61" Type="http://schemas.openxmlformats.org/officeDocument/2006/relationships/customXml" Target="../customXml/item2.xml"/><Relationship Id="rId60" Type="http://schemas.openxmlformats.org/officeDocument/2006/relationships/numbering" Target="numbering.xml"/><Relationship Id="rId6" Type="http://schemas.openxmlformats.org/officeDocument/2006/relationships/footer" Target="footer1.xml"/><Relationship Id="rId59" Type="http://schemas.openxmlformats.org/officeDocument/2006/relationships/customXml" Target="../customXml/item1.xml"/><Relationship Id="rId58" Type="http://schemas.openxmlformats.org/officeDocument/2006/relationships/image" Target="media/image29.wmf"/><Relationship Id="rId57" Type="http://schemas.openxmlformats.org/officeDocument/2006/relationships/oleObject" Target="embeddings/oleObject21.bin"/><Relationship Id="rId56" Type="http://schemas.openxmlformats.org/officeDocument/2006/relationships/image" Target="media/image28.wmf"/><Relationship Id="rId55" Type="http://schemas.openxmlformats.org/officeDocument/2006/relationships/oleObject" Target="embeddings/oleObject20.bin"/><Relationship Id="rId54" Type="http://schemas.openxmlformats.org/officeDocument/2006/relationships/image" Target="media/image27.wmf"/><Relationship Id="rId53" Type="http://schemas.openxmlformats.org/officeDocument/2006/relationships/oleObject" Target="embeddings/oleObject19.bin"/><Relationship Id="rId52" Type="http://schemas.openxmlformats.org/officeDocument/2006/relationships/image" Target="media/image26.wmf"/><Relationship Id="rId51" Type="http://schemas.openxmlformats.org/officeDocument/2006/relationships/oleObject" Target="embeddings/oleObject18.bin"/><Relationship Id="rId50" Type="http://schemas.openxmlformats.org/officeDocument/2006/relationships/image" Target="media/image25.wmf"/><Relationship Id="rId5" Type="http://schemas.openxmlformats.org/officeDocument/2006/relationships/header" Target="header1.xml"/><Relationship Id="rId49" Type="http://schemas.openxmlformats.org/officeDocument/2006/relationships/oleObject" Target="embeddings/oleObject17.bin"/><Relationship Id="rId48" Type="http://schemas.openxmlformats.org/officeDocument/2006/relationships/image" Target="media/image24.wmf"/><Relationship Id="rId47" Type="http://schemas.openxmlformats.org/officeDocument/2006/relationships/oleObject" Target="embeddings/oleObject16.bin"/><Relationship Id="rId46" Type="http://schemas.openxmlformats.org/officeDocument/2006/relationships/image" Target="media/image23.wmf"/><Relationship Id="rId45" Type="http://schemas.openxmlformats.org/officeDocument/2006/relationships/oleObject" Target="embeddings/oleObject15.bin"/><Relationship Id="rId44" Type="http://schemas.openxmlformats.org/officeDocument/2006/relationships/image" Target="media/image22.wmf"/><Relationship Id="rId43" Type="http://schemas.openxmlformats.org/officeDocument/2006/relationships/oleObject" Target="embeddings/oleObject14.bin"/><Relationship Id="rId42" Type="http://schemas.openxmlformats.org/officeDocument/2006/relationships/image" Target="media/image21.wmf"/><Relationship Id="rId41" Type="http://schemas.openxmlformats.org/officeDocument/2006/relationships/oleObject" Target="embeddings/oleObject13.bin"/><Relationship Id="rId40" Type="http://schemas.openxmlformats.org/officeDocument/2006/relationships/image" Target="media/image20.wmf"/><Relationship Id="rId4" Type="http://schemas.openxmlformats.org/officeDocument/2006/relationships/endnotes" Target="endnotes.xml"/><Relationship Id="rId39" Type="http://schemas.openxmlformats.org/officeDocument/2006/relationships/oleObject" Target="embeddings/oleObject12.bin"/><Relationship Id="rId38" Type="http://schemas.openxmlformats.org/officeDocument/2006/relationships/image" Target="media/image19.wmf"/><Relationship Id="rId37" Type="http://schemas.openxmlformats.org/officeDocument/2006/relationships/oleObject" Target="embeddings/oleObject11.bin"/><Relationship Id="rId36" Type="http://schemas.openxmlformats.org/officeDocument/2006/relationships/image" Target="media/image18.wmf"/><Relationship Id="rId35" Type="http://schemas.openxmlformats.org/officeDocument/2006/relationships/oleObject" Target="embeddings/oleObject10.bin"/><Relationship Id="rId34" Type="http://schemas.openxmlformats.org/officeDocument/2006/relationships/image" Target="media/image17.wmf"/><Relationship Id="rId33" Type="http://schemas.openxmlformats.org/officeDocument/2006/relationships/oleObject" Target="embeddings/oleObject9.bin"/><Relationship Id="rId32" Type="http://schemas.openxmlformats.org/officeDocument/2006/relationships/image" Target="media/image16.wmf"/><Relationship Id="rId31" Type="http://schemas.openxmlformats.org/officeDocument/2006/relationships/oleObject" Target="embeddings/oleObject8.bin"/><Relationship Id="rId30" Type="http://schemas.openxmlformats.org/officeDocument/2006/relationships/image" Target="media/image15.png"/><Relationship Id="rId3" Type="http://schemas.openxmlformats.org/officeDocument/2006/relationships/footnotes" Target="footnotes.xml"/><Relationship Id="rId29" Type="http://schemas.openxmlformats.org/officeDocument/2006/relationships/image" Target="media/image14.png"/><Relationship Id="rId28" Type="http://schemas.openxmlformats.org/officeDocument/2006/relationships/image" Target="media/image13.png"/><Relationship Id="rId27" Type="http://schemas.openxmlformats.org/officeDocument/2006/relationships/image" Target="media/image12.png"/><Relationship Id="rId26" Type="http://schemas.openxmlformats.org/officeDocument/2006/relationships/image" Target="media/image11.png"/><Relationship Id="rId25" Type="http://schemas.openxmlformats.org/officeDocument/2006/relationships/image" Target="media/image10.wmf"/><Relationship Id="rId24" Type="http://schemas.openxmlformats.org/officeDocument/2006/relationships/oleObject" Target="embeddings/oleObject7.bin"/><Relationship Id="rId23" Type="http://schemas.openxmlformats.org/officeDocument/2006/relationships/image" Target="media/image9.wmf"/><Relationship Id="rId22" Type="http://schemas.openxmlformats.org/officeDocument/2006/relationships/oleObject" Target="embeddings/oleObject6.bin"/><Relationship Id="rId21" Type="http://schemas.openxmlformats.org/officeDocument/2006/relationships/image" Target="media/image8.wmf"/><Relationship Id="rId20" Type="http://schemas.openxmlformats.org/officeDocument/2006/relationships/oleObject" Target="embeddings/oleObject5.bin"/><Relationship Id="rId2" Type="http://schemas.openxmlformats.org/officeDocument/2006/relationships/settings" Target="settings.xml"/><Relationship Id="rId19" Type="http://schemas.openxmlformats.org/officeDocument/2006/relationships/image" Target="media/image7.wmf"/><Relationship Id="rId18" Type="http://schemas.openxmlformats.org/officeDocument/2006/relationships/oleObject" Target="embeddings/oleObject4.bin"/><Relationship Id="rId17" Type="http://schemas.openxmlformats.org/officeDocument/2006/relationships/image" Target="media/image6.wmf"/><Relationship Id="rId16" Type="http://schemas.openxmlformats.org/officeDocument/2006/relationships/oleObject" Target="embeddings/oleObject3.bin"/><Relationship Id="rId15" Type="http://schemas.openxmlformats.org/officeDocument/2006/relationships/image" Target="media/image5.wmf"/><Relationship Id="rId14" Type="http://schemas.openxmlformats.org/officeDocument/2006/relationships/oleObject" Target="embeddings/oleObject2.bin"/><Relationship Id="rId13" Type="http://schemas.openxmlformats.org/officeDocument/2006/relationships/image" Target="media/image4.wmf"/><Relationship Id="rId12" Type="http://schemas.openxmlformats.org/officeDocument/2006/relationships/oleObject" Target="embeddings/oleObject1.bin"/><Relationship Id="rId11" Type="http://schemas.openxmlformats.org/officeDocument/2006/relationships/image" Target="media/image3.jpeg"/><Relationship Id="rId10" Type="http://schemas.openxmlformats.org/officeDocument/2006/relationships/image" Target="media/image2.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1A78D73-9E6A-46D4-903B-C874F18D1A1B}">
  <ds:schemaRefs/>
</ds:datastoreItem>
</file>

<file path=docProps/app.xml><?xml version="1.0" encoding="utf-8"?>
<Properties xmlns="http://schemas.openxmlformats.org/officeDocument/2006/extended-properties" xmlns:vt="http://schemas.openxmlformats.org/officeDocument/2006/docPropsVTypes">
  <Template>Normal.dotm</Template>
  <Pages>32</Pages>
  <Words>6625</Words>
  <Characters>7832</Characters>
  <Lines>1525</Lines>
  <Paragraphs>1425</Paragraphs>
  <TotalTime>4</TotalTime>
  <ScaleCrop>false</ScaleCrop>
  <LinksUpToDate>false</LinksUpToDate>
  <CharactersWithSpaces>8309</CharactersWithSpaces>
  <Application>WPS Office_12.1.0.23542_F1E327BC-269C-435d-A152-05C5408002CA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2024-07-03T03:03:00Z</dcterms:created>
  <dc:creator>1003227768@qq.com</dc:creator>
  <cp:lastModifiedBy>Zev Huang</cp:lastModifiedBy>
  <cp:lastPrinted>2025-05-13T00:09:00Z</cp:lastPrinted>
  <dcterms:modified xsi:type="dcterms:W3CDTF">2025-11-14T01:59:20Z</dcterms:modified>
  <cp:revision>253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KSOProductBuildVer">
    <vt:lpwstr>2052-12.1.0.23542</vt:lpwstr>
  </property>
  <property fmtid="{D5CDD505-2E9C-101B-9397-08002B2CF9AE}" pid="4" name="ICV">
    <vt:lpwstr>B1886F2AC16A4CAA8DA07665152D5E02_13</vt:lpwstr>
  </property>
  <property fmtid="{D5CDD505-2E9C-101B-9397-08002B2CF9AE}" pid="5" name="KSOTemplateDocerSaveRecord">
    <vt:lpwstr>eyJoZGlkIjoiZjFmZWIzNDg2MmIzZjExOTIzMmViNTBmYTMwYTk0ZWYiLCJ1c2VySWQiOiIzMzA4MDYzMDEifQ==</vt:lpwstr>
  </property>
  <property fmtid="{D5CDD505-2E9C-101B-9397-08002B2CF9AE}" pid="6" name="MTEquationSection">
    <vt:lpwstr>1</vt:lpwstr>
  </property>
  <property fmtid="{D5CDD505-2E9C-101B-9397-08002B2CF9AE}" pid="7" name="MTEquationNumber2">
    <vt:lpwstr>(D-#E1)</vt:lpwstr>
  </property>
  <property fmtid="{D5CDD505-2E9C-101B-9397-08002B2CF9AE}" pid="8" name="MTCustomEquationNumber">
    <vt:lpwstr>1</vt:lpwstr>
  </property>
  <property fmtid="{D5CDD505-2E9C-101B-9397-08002B2CF9AE}" pid="9" name="MTDeferFieldUpdate">
    <vt:lpwstr>1</vt:lpwstr>
  </property>
</Properties>
</file>